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1B_278/2020 vom 18. August 2020</w:t>
      </w:r>
    </w:p>
    <w:p>
      <w:r>
        <w:t>Bundesgericht, 2020-08-18, DE</w:t>
      </w:r>
    </w:p>
    <w:p>
      <w:r>
        <w:rPr>
          <w:b/>
        </w:rPr>
        <w:t xml:space="preserve">Quelle: </w:t>
      </w:r>
      <w:r>
        <w:t>https://mcp.opencaselaw.ch/entscheid/bger_1B_278_2020</w:t>
      </w:r>
    </w:p>
    <w:p>
      <w:r>
        <w:t>FR: TF 1B_278/2020 du 18 août 2020</w:t>
      </w:r>
    </w:p>
    <w:p>
      <w:r>
        <w:t>IT: TF 1B_278/2020 del 18 agosto 2020</w:t>
      </w:r>
    </w:p>
    <w:p>
      <w:pPr>
        <w:pStyle w:val="Heading2"/>
      </w:pPr>
      <w:r>
        <w:t>Erwägungen</w:t>
      </w:r>
    </w:p>
    <w:p>
      <w:r>
        <w:rPr>
          <w:b/>
        </w:rPr>
        <w:t>E. 1.1</w:t>
      </w:r>
    </w:p>
    <w:p>
      <w:r>
        <w:t>Beim angefochtenen Entscheid handelt es sich um einen kantonal letztinstanzlichen, selbständig anfechtbaren Zwischenentscheid über den Ausstand im Rahmen eines Strafverfahrens. Dagegen steht die Beschwerde in Strafsachen an das Bundesgericht offen (vgl. Art. 78 ff. bzw. Art. 92 Abs. 1 BGG ).</w:t>
      </w:r>
    </w:p>
    <w:p>
      <w:r>
        <w:rPr>
          <w:b/>
        </w:rPr>
        <w:t>E. 1.2</w:t>
      </w:r>
    </w:p>
    <w:p>
      <w:r>
        <w:t>Der Beschwerdeführer ist Beschuldigter im Strafverfahren, war am vorinstanzlichen Verfahren beteiligt und ist als Gesuchsteller sowie Adressat des angefochtenen Entscheids zur Beschwerde legitimiert (vgl. Art. 81 Abs. 1 BGG ).</w:t>
      </w:r>
    </w:p>
    <w:p>
      <w:r>
        <w:rPr>
          <w:b/>
        </w:rPr>
        <w:t>E. 1.3</w:t>
      </w:r>
    </w:p>
    <w:p>
      <w:r>
        <w:t>Mit der Beschwerde in Strafsachen an das Bundesgericht kann insbesondere die Verletzung von Bundesrecht gerügt werden ( Art. 95 lit. a BGG ). Bei den vom Beschwerdeführer angerufenen Bestimmungen handelt es sich um massgebliches Bundesrecht. Dessen Einhaltung überprüft das Bundesgericht mit freier Kognition.</w:t>
      </w:r>
    </w:p>
    <w:p>
      <w:r>
        <w:rPr>
          <w:b/>
        </w:rPr>
        <w:t>E. 1.4</w:t>
      </w:r>
    </w:p>
    <w:p>
      <w:r>
        <w:t>Das Bundesgericht legt seinem Urteil die Sachverhaltsfeststellungen der Vorinstanz zugrunde ( Art. 105 Abs. 1 BGG ), es sei denn, diese seien offensichtlich unrichtig oder beruhten auf einer Rechtsverletzung im Sinne von Art. 95 BGG (vgl. Art. 97 Abs. 1 und Art. 105 Abs. 2 BGG ). Solche Ausnahmegründe werden hier weder dargetan noch sind sie ersichtlich, weshalb die tatsächlichen Feststellungen des Obergerichts für das Bundesgericht verbindlich sind.</w:t>
      </w:r>
    </w:p>
    <w:p>
      <w:r>
        <w:rPr>
          <w:b/>
        </w:rPr>
        <w:t>E. 2</w:t>
      </w:r>
    </w:p>
    <w:p>
      <w:r>
        <w:t>Der Beschwerdeführer beanstandet verschiedene Verfahrensfehler und ihm gegenüber missliebige Äusserungen des Untersuchungsleiters. Gestützt darauf rügt er eine Verletzung von Art. 56 lit. f StPO in Verbindung mit Art. 29 Abs. 1 und Art. 30 Abs. 1 BV sowie von Art. 6 Ziff. 1 EMRK und zugleich eine willkürliche Anwendung dieser Bestimmungen im Sinne von Art. 9 BV . Zusammengefasst macht er geltend, der vom Ausstandsgesuch betroffene Staatsanwalt sei voreingenommen. Sein bisheriges Verhalten offenbare, dass er sich nicht an die Unschuldsvermutung halte. So habe er ein fallrelevantes Telefongespräch mit dem Rechtsvertreter der Privatklägerin nicht protokolliert und einer vorgeladenen und in den zu untersuchenden Sachverhalt als Organ der Privatklägerin involvierten Auskunftsperson vor deren Einvernahme über ihren Rechtsvertreter den gesamten Fragenkatalog mit Beilagen sowie internen Notizen der Ermittlungsbehörde zugestellt. Dem Beschwerdeführer habe er demgegenüber die Identität von Auskunftspersonen vor der Einvernahme wegen nicht näher begründeter Kollusionsgefahr regelmässig nicht bekanntgegeben. Sodann habe er einfach erhältliche entlastende Beweise entgegen den Anträgen der Verteidigung nicht eingeholt bzw. als unwesentlich gewertet und die entsprechenden Beweisanträge als "relative Peinlichkeit" bzw. deren Begründung als "aktenwidrig" bezeichnet. Weiter habe er die Ergreifung von Rechtsmitteln durch den Beschwerdeführer gegenüber dem Obergericht als Beschwerdeinstanz mehrfach als "Torpedierung" des Strafverfahrens bezeichnet und eindeutig als Belastungsindiz gewertet. Und schliesslich habe er dem Beschwerdeführer im Rahmen eines Beschwerdeverfahrens vor dem Obergericht im Zusammenhang mit Grundbuchsperren ohne Anlass aktenwidrig ein Steuerdelikt unterstellt, ohne dass ein entsprechendes Verfahren eröffnet worden wäre. Auch das Obergericht habe sein Missfallen über einzelne Verhaltensweisen des Staatsanwaltes bekundet, ohne allerdings einen ausreichenden Ausstandsgrund zu erkennen, was bundesrechtswidrig sei.</w:t>
      </w:r>
    </w:p>
    <w:p>
      <w:r>
        <w:rPr>
          <w:b/>
        </w:rPr>
        <w:t>E. 3.1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3.2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 125 I 119 E. 3e S. 124; 115 Ia 400 E. 3b S. 404; 114 Ia 153 E. 3b/bb S. 158; Urteil 1B_375/2017 vom 7. Februar 2018 E. 2; je mit Hinweisen). Diesbezüglich sind primär die zur Verfügung stehenden Rechtsmittel gegen beanstandete Verfahrenshandlungen auszuschöpfen (vgl. BGE 143 IV 69 E. 3.2 S. 75; 114 Ia 153 E. 3b/bb S. 158 f.; je mit Hinweisen).</w:t>
      </w:r>
    </w:p>
    <w:p>
      <w:r>
        <w:rPr>
          <w:b/>
        </w:rPr>
        <w:t>E. 3.3</w:t>
      </w:r>
    </w:p>
    <w:p>
      <w:r>
        <w:t>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(vgl. BGE 138 IV 142 E. 2.4 S. 146 f.).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 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S. 180 ; 127 I 196 E. 2d S. 200; 116 Ia 14 E. 6 S. 21 f.; je mit Hinweisen; zum Ganzen Urteil des Bundesgerichts 1B_535/2018 vom 16. April 2019 E. 3).</w:t>
      </w:r>
    </w:p>
    <w:p>
      <w:r>
        <w:rPr>
          <w:b/>
        </w:rPr>
        <w:t>E. 4.1</w:t>
      </w:r>
    </w:p>
    <w:p>
      <w:r>
        <w:t>Der Beschwerdeführer macht nicht eine massgebliche persönliche Feindschaft im Verhältnis zum Staatsanwalt geltend, um dessen Ausstand er ersucht. Er sieht den Ausstandsgrund hingegen in der Summe der von diesem begangenen Verhaltensverfehlungen.</w:t>
      </w:r>
    </w:p>
    <w:p>
      <w:r>
        <w:rPr>
          <w:b/>
        </w:rPr>
        <w:t>E. 4.2</w:t>
      </w:r>
    </w:p>
    <w:p>
      <w:r>
        <w:t>Wie das Obergericht zutreffend ausführt, belegen die Bildung und Nennung einer Schuldhypothese für sich noch keine Parteilichkeit. Es ist aber erforderlich, dass die Staatsanwaltschaft belastende und entlastende Umstände mit gleicher Sorgfalt untersucht. Abgelehnte Beweisanträge sind allerdings nicht anfechtbar, da sie im Hauptverfahren erneut gestellt werden können, ausser es liesse sich daraus eine krass einseitige Beweisführung ableiten. Das trifft hier nicht zu, erscheint es doch mit dem Obergericht nachvollziehbar, dass der Staatsanwalt sich bisher vorrangig auf Urkundenbeweise konzentrierte und deswegen auf die vom Beschwerdeführer beantragten Einvernahmen vorerst verzichtete. Das gilt auch für die vom Beschwerdeführer verlangte Einholung der sog. Genehmigungsblätter für die angeblich gefälschten Verträge bei seiner früheren Arbeitgeberin. Wie das Obergericht festhielt, versucht der Beschwerdeführer dadurch den Verdacht von sich abzuwenden und gegebenenfalls auf Dritte zu lenken. Demgegenüber geht der Staatsanwalt davon aus, das Vertragswerk sei manipuliert worden. Das lässt noch nicht auf Befangenheit schliessen. Mit dem Obergericht ist jedoch festzuhalten, dass wertende Aussagen des Untersuchungsleiters zu Beweisanträgen, insbesondere deren Bezeichnung als "relative Peinlichkeit", der Sache nicht dienlich sind und unterbleiben sollten. Auch wenn Ausführungen des Beschuldigten als aktenwidrig bezeichnet werden, sollte dies nur dann in Betracht gezogen werden, wenn sich das eindeutig belegen lässt. Unterlagen, die sich wie hier die Genehmigungsblätter gar nicht in den Akten befinden, können auch nicht aktenwidrig sein. Hierzu wäre beim Beschwerdegegner eine grössere Zurückhaltung erforderlich gewesen.</w:t>
      </w:r>
    </w:p>
    <w:p>
      <w:r>
        <w:rPr>
          <w:b/>
        </w:rPr>
        <w:t>E. 4.3</w:t>
      </w:r>
    </w:p>
    <w:p>
      <w:r>
        <w:t>Mit dem Obergericht ist weiter davon auszugehen, dass im Untersuchungsverfahren geführte Telefongespräche zu protokollieren sind bzw. darüber zumindest eine Aktennotiz zu erstellen ist. Es ist daher nicht unbedenklich, dass der Beschwerdegegner dies im Zusammenhang mit einem Gespräch mit dem Rechtsbeistand der früheren Arbeitgeberin des Beschwerdeführers unterlassen hat. Allerdings dürfte dies vor allem später im Hauptverfahren von Belang sein.</w:t>
      </w:r>
    </w:p>
    <w:p>
      <w:r>
        <w:rPr>
          <w:b/>
        </w:rPr>
        <w:t>E. 4.4</w:t>
      </w:r>
    </w:p>
    <w:p>
      <w:r>
        <w:t>Nicht zu beanstanden ist, Zeugennamen bei Vorliegen von Kollusionsgefahr nicht vorgängig bekannt zu geben. Je länger dies dauert, desto eingehender muss die Kollusionsgefahr freilich belegt werden. Vorerst ist darin im vorliegenden Fall noch kein wesentlicher Verfahrensfehler erkennbar. Künftig wird die Staatsanwaltschaft dies jedoch eingehender zu begründen haben, wenn sie Zeugennamen weiterhin nicht preisgeben will.</w:t>
      </w:r>
    </w:p>
    <w:p>
      <w:r>
        <w:rPr>
          <w:b/>
        </w:rPr>
        <w:t>E. 4.5</w:t>
      </w:r>
    </w:p>
    <w:p>
      <w:r>
        <w:t>Mit dem Obergericht erscheint es demgegenüber fragwürdig, dass der Beschwerdegegner dem Rechtsvertreter einer vorgeladenen und als Organ der Privatklägerin geladenen Auskunftsperson vorweg den gesamten Fragenkatalog mit Beilagen sowie internen Notizen der Ermittlungsbehörde zustellte. Dadurch kann der Eindruck einer gewissen Einseitigkeit entstehen. Die Begründung des Beschwerdegegners, die Zustellung der Unterlagen habe der Vorbereitung der Einvernahme gedient, erscheint dürftig und überzeugt für sich allein nicht. Der Eindruck von Einseitigkeit unterscheidet sich höchstens noch graduell vom Anschein der Befangenheit.</w:t>
      </w:r>
    </w:p>
    <w:p>
      <w:r>
        <w:rPr>
          <w:b/>
        </w:rPr>
        <w:t>E. 4.6</w:t>
      </w:r>
    </w:p>
    <w:p>
      <w:r>
        <w:t>Sodann steht es jedem Beschuldigten zu, die ihm offenstehenden Rechtsmittel zu ergreifen, ohne dass ihm dies im Strafverfahren nachteilig ausgelegt wird. Soweit der Beschwerdegegner das entsprechende Verhalten des Beschwerdeführers als "Torpedierung" des Strafverfahrens bezeichnet hat, ist das daher als unangebracht zu werten. Der angemessene Umgang mit der Verteidigungsstrategie gehört zur Aufgabe der Staatsanwaltschaft. Als unvorsichtig und aufgrund der Umstände ebenfalls unangemessen entpuppt sich auch der Vorwurf, bei einem gesiegelten Bankkonto handle es sich um ein nicht versteuertes Konto, nachdem dies nachweislich nicht zutraf. Der Beschwerdegegner liess in beiden Zusammenhängen ungenügende Zurückhaltung erkennen. Es kann hier offenbleiben, ob in diesen beiden Umständen bereits eine derart schwere Verfehlung vorliegt, dass daraus eine Vorverurteilung des Beschwerdeführers abzuleiten wäre.</w:t>
      </w:r>
    </w:p>
    <w:p>
      <w:r>
        <w:rPr>
          <w:b/>
        </w:rPr>
        <w:t>E. 4.7</w:t>
      </w:r>
    </w:p>
    <w:p>
      <w:r>
        <w:t>Insgesamt sindmehrere vom Beschwerdeführer gegenüber dem Beschwerdegegner erhobene Vorwürfe nicht unbegründet. Dieser hat sich mitunter nicht nur ungeschickt verhalten, sondern bei seinen Untersuchungen auch nicht die erforderlicheUnparteilichkeit erkennen lassen. Ob die einzelnen Verhaltensweisen derart schwer wiegen, dass sie jeweils für sich allein als krasses Fehlverhalten einen Ausstandsgrund schaffen, kann dahingestellt bleiben. Jedenfalls erweckt die Summe aller zu beanstandenden Verhaltensweisen objektiv den Anschein von Befangenheit. Der vorliegende Fall weist insofern gewisse Parallelen zum Sachverhalt auf, der vom Bundesgericht im vom Beschwerdeführer angerufenen Urteil 1P.766/2000 vom 18. Mai 2001 zu beurteilen war. Die Verfehlungen sind insgesamt vergleichbar. Der Beschwerdegegner hat daher im fraglichen Strafverfahren in den Ausstand zu treten.</w:t>
      </w:r>
    </w:p>
    <w:p>
      <w:r>
        <w:rPr>
          <w:b/>
        </w:rPr>
        <w:t>E. 4.8</w:t>
      </w:r>
    </w:p>
    <w:p>
      <w:r>
        <w:t>Der angefochtene Entscheid, mit dem ein Ausstandsgrund verneint wird, verletzt demnachBundesrecht.</w:t>
      </w:r>
    </w:p>
    <w:p>
      <w:r>
        <w:rPr>
          <w:b/>
        </w:rPr>
        <w:t>E. 5</w:t>
      </w:r>
    </w:p>
    <w:p>
      <w:r>
        <w:t>Die Beschwerde erweist sich als begründet und ist gutzuheissen, der angefochtene Entscheid ist aufzuheben und es ist der Ausstand des Beschwerdegegners im Strafverfahren gegen den Beschwerdeführer anzuordnen.</w:t>
      </w:r>
    </w:p>
    <w:p>
      <w:r>
        <w:t>Bei diesem Verfahrensausgang sind keine Kosten zu erheben (Art. 66 Abs. 4BGG). Der Kanton Thurgau hat dem Beschwerdeführer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