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1B_278/2019 vom 7. Juni 2019</w:t>
      </w:r>
    </w:p>
    <w:p>
      <w:r>
        <w:t>Bundesgericht, 2019-06-07, DE</w:t>
      </w:r>
    </w:p>
    <w:p>
      <w:r>
        <w:rPr>
          <w:b/>
        </w:rPr>
        <w:t xml:space="preserve">Quelle: </w:t>
      </w:r>
      <w:r>
        <w:t>https://mcp.opencaselaw.ch/entscheid/bger_1B_278_2019</w:t>
      </w:r>
    </w:p>
    <w:p>
      <w:r>
        <w:t>FR: TF 1B_278/2019 du 7 juin 2019</w:t>
      </w:r>
    </w:p>
    <w:p>
      <w:r>
        <w:t>IT: TF 1B_278/2019 del 7 giugno 2019</w:t>
      </w:r>
    </w:p>
    <w:p>
      <w:pPr>
        <w:pStyle w:val="Heading2"/>
      </w:pPr>
      <w:r>
        <w:t>Erwägungen</w:t>
      </w:r>
    </w:p>
    <w:p>
      <w:r>
        <w:rPr>
          <w:b/>
        </w:rPr>
        <w:t>E. 1</w:t>
      </w:r>
    </w:p>
    <w:p>
      <w:r>
        <w:t>Die Staatsanwaltschaft des Kantons St. Gallen, Kantonales Untersuchungsamt, führt ein Strafverfahren gegen A.________ wegen Verdachts der vorsätzlichen Tötung. Die Strafuntersuchung steht kurz vor dem Abschluss.</w:t>
      </w:r>
    </w:p>
    <w:p>
      <w:r>
        <w:t>Am 2. April 2019 ersuchte A.________ um Ausstand des verfahrensleitenden Staatsanwalts B.________. Die Anklagekammer des Kantons St. Gallen trat mit Entscheid vom 8. Mai 2019 auf das Ausstandsgesuch nicht ein. Zur Begründung führte sie zusammenfassend aus, dass ein Ausstandsgesuch, das erst nach Ablauf von zwei bis drei Wochen nach Kenntnis des Ausstandsgrundes gestellt wird, gemäss der Rechtsprechung verspätet sei. Das vorliegende Ausstandsgesuch sei daher verspätet, weshalb darauf nicht einzutreten sei. Andernfalls wäre es abzuweisen, da keine Umstände ersichtlich seien, die eine Befangenheit des Staatsanwalts bzw. einen entsprechenden Anschein dazu begründen könnten.</w:t>
      </w:r>
    </w:p>
    <w:p>
      <w:r>
        <w:rPr>
          <w:b/>
        </w:rPr>
        <w:t>E. 2</w:t>
      </w:r>
    </w:p>
    <w:p>
      <w:r>
        <w:t>A.________ führt mit Eingabe vom 3. Juni 2019 (Postaufgabe 4. Juni 2019) Beschwerde in Strafsachen gegen den Entscheid der Anklagekammer des Kantons St. Gallen.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Grundrechte verstossen soll.</w:t>
      </w:r>
    </w:p>
    <w:p>
      <w:r>
        <w:t>Der Beschwerdeführer vermag mit seinen Ausführungen nicht nachvollziehbar aufzuzeigen, dass die Hauptbegründung oder die Alternativbegründung der Anklagekammer Recht im Sinne von Art. 42 Abs. 2 BGG verletzen würde. Aus der Beschwerde ergibt sich nicht, inwiefern die Begründung der Anklagekammer bzw. deren Entscheid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