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278/2007 vom 29. Januar 2008</w:t>
      </w:r>
    </w:p>
    <w:p>
      <w:r>
        <w:t>Bundesgericht, 2008-01-29, FR</w:t>
      </w:r>
    </w:p>
    <w:p>
      <w:r>
        <w:rPr>
          <w:b/>
        </w:rPr>
        <w:t xml:space="preserve">Quelle: </w:t>
      </w:r>
      <w:r>
        <w:t>https://mcp.opencaselaw.ch/entscheid/bger_1B_278_2007</w:t>
      </w:r>
    </w:p>
    <w:p>
      <w:r>
        <w:t>FR: TF 1B 278/2007 du 29 janvier 2008</w:t>
      </w:r>
    </w:p>
    <w:p>
      <w:r>
        <w:t>IT: TF 1B 278/2007 del 29 gennaio 2008</w:t>
      </w:r>
    </w:p>
    <w:p>
      <w:pPr>
        <w:pStyle w:val="Heading2"/>
      </w:pPr>
      <w:r>
        <w:t>Regeste</w:t>
      </w:r>
    </w:p>
    <w:p>
      <w:r>
        <w:t>désignation d'un avocat d'office | Procédure pénale</w:t>
      </w:r>
    </w:p>
    <w:p>
      <w:pPr>
        <w:pStyle w:val="Heading2"/>
      </w:pPr>
      <w:r>
        <w:t>Erwägungen</w:t>
      </w:r>
    </w:p>
    <w:p>
      <w:r>
        <w:rPr>
          <w:b/>
        </w:rPr>
        <w:t>E. 1</w:t>
      </w:r>
    </w:p>
    <w:p>
      <w:r>
        <w:t>Selon l' art. 78 LTF , le recours en matière pénale est ouvert "contre les décisions rendues en matière pénale" ( art. 78 al. 1 LTF ). Cette notion comprend toute décision fondée sur le droit pénal matériel ou sur le droit de procédure pénale. Elle s'étend aux décisions relatives à l'assistance judiciaire pénale (arrêt 1B_84/2007 du 11 septembre 2007, destiné à la publication) ou, comme en l'occurrence, à l'octroi d'un conseil LAVI dans le cadre d'une instruction pénale.</w:t>
      </w:r>
    </w:p>
    <w:p>
      <w:r>
        <w:rPr>
          <w:b/>
        </w:rPr>
        <w:t>E. 1.1</w:t>
      </w:r>
    </w:p>
    <w:p>
      <w:r>
        <w:t>L'arrêt attaqué est rendu en dernière instance cantonale ( art. 80 al. 1 LTF ). La recourante, qui s'est vu dénier la qualité de victime LAVI et, conséquemment, le droit à l'assistance d'un conseil, a qualité pour agir.</w:t>
      </w:r>
    </w:p>
    <w:p>
      <w:r>
        <w:rPr>
          <w:b/>
        </w:rPr>
        <w:t>E. 1.2</w:t>
      </w:r>
    </w:p>
    <w:p>
      <w:r>
        <w:t>Le Tribunal d'accusation s'est exprimé de manière définitive sur la qualité de victime de la recourante. On peut ainsi s'interroger sur la nature, finale ou incidente, de la décision attaquée. Toutefois, à supposer qu'elle soit incidente (elle ne met pas fin à la procédure pénale), il y a lieu de reconnaître qu'elle est susceptible de causer à la recourante un dommage irréparable au sens de l' art. 93 al. 1 let. a LTF , à l'instar des décisions rendues en matière d'assistance judiciaire ( ATF 129 I 281 consid. 1.1 p. 283; 129 I 129 consid. 1.1 p. 131; 126 I 207 consid. 2a p. 210). Il y a donc lieu d'entrer en matière.</w:t>
      </w:r>
    </w:p>
    <w:p>
      <w:r>
        <w:rPr>
          <w:b/>
        </w:rPr>
        <w:t>E. 2</w:t>
      </w:r>
    </w:p>
    <w:p>
      <w:r>
        <w:t>La recourante s'estime victime d'un viol. Cette infraction serait caractérisée par une absence de consentement à une relation sexuelle; en l'occurrence, l'auteur aurait employé la ruse pour obtenir une relation dans des conditions auxquelles elle avait clairement déclaré ne pas consentir. La cause serait suffisamment complexe pour justifier l'intervention d'un avocat. La recourante dit souffrir toujours de difficultés psychologiques en raison des craintes éprouvées pour sa santé, aggravées par des erreurs de traitement commises à l'hôpital ainsi que par l'absence de reconnaissance de ses droits de défense. Le Tribunal d'accusation évoque une réparation fondée sur les art. 28 ss CC , alors que celle-ci suppose l'existence d'un dommage.</w:t>
      </w:r>
    </w:p>
    <w:p>
      <w:r>
        <w:rPr>
          <w:b/>
        </w:rPr>
        <w:t>E. 3</w:t>
      </w:r>
    </w:p>
    <w:p>
      <w:r>
        <w:t>Selon l' art. 2 al. 2 LAVI , est considérée comme victime toute personne qui a subi, du fait d'une infraction, une atteinte directe à son intégrité corporelle, sexuelle ou psychique ( ATF 129 IV 197 consid. 1.6 p. 201). La qualité de victime est ainsi reconnue aux personnes ayant subi une infraction contre la vie et l'intégrité corporelle (y compris les lésions simples ou graves, voire certains cas de voies de fait; ATF 127 IV 236 ), ou sexuelle. Elle peut également être reconnue pour d'autres infractions, dans la mesure notamment où il en résulte directement pour le lésé une atteinte objectivement grave à l'intégrité psychique ( ATF 131 IV 78 ; 128 I 218 consid. 1.5 p. 223; 120 I 157 consid. 2d/aa p. 162).</w:t>
      </w:r>
    </w:p>
    <w:p>
      <w:r>
        <w:rPr>
          <w:b/>
        </w:rPr>
        <w:t>E. 3.1</w:t>
      </w:r>
    </w:p>
    <w:p>
      <w:r>
        <w:t>Les exigences quant à la démonstration de la qualité de victime ne sont pas les mêmes aux divers stades de la procédure: l'indemnisation au sens de l' art. 11 LAVI suppose que cette qualité soit établie; en revanche, s'agissant des droits de victime dans la procédure pénale ( art. 5 ss LAVI ) et, plus encore, des prestations liées aux conseils et à l'aide immédiate ( art. 3 LAVI ), la qualité de victime doit simplement apparaître vraisemblable au moment où l'aide est requise ( ATF 125 II 265 consid. 2c/aa p. 270). Tant que les faits ne sont pas définitivement arrêtés, il faut se fonder sur les allégués de celui qui se prétend lésé pour déterminer s'il est une victime au sens de l' art. 2 LAVI , pour autant que ces allégués paraissent plausibles ( ATF 125 IV 79 consid. 1c p. 81 s.).</w:t>
      </w:r>
    </w:p>
    <w:p>
      <w:r>
        <w:rPr>
          <w:b/>
        </w:rPr>
        <w:t>E. 3.2</w:t>
      </w:r>
    </w:p>
    <w:p>
      <w:r>
        <w:t>La victime, au sens défini ci-dessus, a droit selon l' art. 3 al. 4 LAVI , à la prise en charge de ses frais d'avocat, pour autant que sa situation personnelle le justifie. Cette prise en charge est subsidiaire par rapport à l'assistance judiciaire, et peut être accordée à des conditions moins restrictives ( ATF 131 II 121 consid. 2.3 p. 126 s.; 122 II 315 consid. 4c p. 323). Selon la jurisprudence, l'état de besoin de la victime doit s'analyser comme un tout ( ATF 122 II 315 consid. 4c p. 323). L'élément financier n'est pas à lui seul décisif, et toutes les circonstances personnelles doivent être examinées. Parmi les critères qu'il convient de prendre en considération dans ce cadre, figure en particulier la difficulté des questions de droit ou de fait de la cause ( ATF 123 II 548 consid. 2b p. 551 s.).</w:t>
      </w:r>
    </w:p>
    <w:p>
      <w:r>
        <w:rPr>
          <w:b/>
        </w:rPr>
        <w:t>E. 3.3</w:t>
      </w:r>
    </w:p>
    <w:p>
      <w:r>
        <w:t>En l'espèce, la recourante a déposé plainte pénale, notamment pour viol au sens de l' art. 190 CP . Elle ne prétend pas avoir été contrainte à l'acte sexuel, par la force ou la menace, mais affirme qu'elle n'aurait pas consenti à un rapport sexuel non protégé. Son partenaire aurait agi par ruse en retirant le préservatif, à son insu, au cours du rapport. On peut certes s'interroger sur la réalisation des éléments constitutifs de viol dans ces circonstances, mais la question ne saurait être qualifiée d'évidente, et il ne s'agit pas d'un cas bagatelle; la recourante doit être en mesure de défendre juridiquement son point de vue. Par ailleurs, la recourante prétend souffrir de troubles psychologiques liés aux craintes pour sa santé consécutives à un rapport sexuel non protégé. Elle a notamment produit une attestation médicale faisant état d'un certain suivi psychologique. La cour cantonale a elle aussi envisagé la possibilité d'une atteinte à la personnalité, mais a estimé que cela relèverait exclusivement du juge civil. Elle méconnaît ainsi qu'une atteinte d'ordre psychique peut, selon les cas, constituer une lésion corporelle au sens des art. 122 ss CP ( ATF 119 IV 25 consid. 2a p. 26 et les arrêts cités; arrêt 6S.710/1999 du 1er décembre 1999). En l'occurrence, la gravité de l'atteinte alléguée n'a pas été démontrée, ni la relation de causalité avec l'infraction dénoncée. Il s'agit toutefois là aussi de questions délicates en fait et en droit, qui justifient à ce stade l'assistance d'un avocat. Contrairement également à ce que retient la Chambre d'accusation, les nombreuses lettres adressées par la recourante au Juge d'instruction ne font pas ressortir d'aptitudes particulières dans le domaine juridique.</w:t>
      </w:r>
    </w:p>
    <w:p>
      <w:r>
        <w:rPr>
          <w:b/>
        </w:rPr>
        <w:t>E. 4</w:t>
      </w:r>
    </w:p>
    <w:p>
      <w:r>
        <w:t>A ce stade de la procédure, le refus définitif de reconnaître à la recourante la qualité de victime (ce qui la prive de tous les droits attachés à cette qualité) et de lui accorder l'assistance d'un avocat, viole par conséquent le droit fédéral. L'arrêt attaqué est annulé et la cause renvoyée au Tribunal d'accusation afin que l'avocate de la recourante soit désignée comme conseil LAVI. Conformément à l' art. 66 al. 4 LTF , il n'est pas perçu de frais judiciaires. Les dépens alloués à la recourante ( art. 68 al. 1 LTF ) rendent sans objet sa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