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1B_277/2011 vom 28. Juni 2011</w:t>
      </w:r>
    </w:p>
    <w:p>
      <w:r>
        <w:t>Bundesgericht, 2011-06-28, DE</w:t>
      </w:r>
    </w:p>
    <w:p>
      <w:r>
        <w:rPr>
          <w:b/>
        </w:rPr>
        <w:t xml:space="preserve">Quelle: </w:t>
      </w:r>
      <w:r>
        <w:t>https://mcp.opencaselaw.ch/entscheid/bger_1B_277_2011</w:t>
      </w:r>
    </w:p>
    <w:p>
      <w:r>
        <w:t>FR: TF 1B_277/2011 du 28 juin 2011</w:t>
      </w:r>
    </w:p>
    <w:p>
      <w:r>
        <w:t>IT: TF 1B_277/2011 del 28 giugno 2011</w:t>
      </w:r>
    </w:p>
    <w:p>
      <w:pPr>
        <w:pStyle w:val="Heading2"/>
      </w:pPr>
      <w:r>
        <w:t>Erwägungen</w:t>
      </w:r>
    </w:p>
    <w:p>
      <w:r>
        <w:rPr>
          <w:b/>
        </w:rPr>
        <w:t>E. 1.1</w:t>
      </w:r>
    </w:p>
    <w:p>
      <w:r>
        <w:t>Gemäss Art. 78 Abs. 1 BGG beurteilt das Bundesgericht Beschwerden gegen Entscheide in Strafsachen. Der angefochtene Entscheid ist kantonal letztinstanzlich ( Art. 80 BGG ). Er betrifft die Anordnung der Sicherheitshaft und damit eine Zwangsmassnahme im Sinne von Art. 196 ff. StPO (SR 312.0). Da die umstrittene Verfahrenshandlung das Strafverfahren nicht abschliesst (Art. 90 f. BGG), liegt ein selbstständig eröffneter Zwischenentscheid im Sinne von Art. 93 Abs. 1 BGG vor. Gegen diesen ist die Beschwerde nur unter den Voraussetzungen von Art. 93 Abs. 1 lit. a und b BGG zulässig, d.h. insbesondere wenn er einen nicht wieder gutzumachenden Nachteil bewirken kann. Dies ist bei der in Frage stehenden Anordnung der Sicherheitshaft ohne Weiteres der Fall.</w:t>
      </w:r>
    </w:p>
    <w:p>
      <w:r>
        <w:t>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(vgl. BGE 133 I 270 E. 1.1 S. 272 f.). Da auch die übrigen Sachurteilsvoraussetzungen erfüllt sind, ist auf die Beschwerde einzutreten.</w:t>
      </w:r>
    </w:p>
    <w:p>
      <w:r>
        <w:rPr>
          <w:b/>
        </w:rPr>
        <w:t>E. 1.2</w:t>
      </w:r>
    </w:p>
    <w:p>
      <w:r>
        <w:t>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Mit dem Entscheid über strafprozessuale Zwangsmassnahmen wird über die Grundrechtsbeschränkung definitiv entschieden. Somit stellen diese Zwangsmassnahmen keine vorsorgliche Massnahmen im Sinne von Art. 98 BGG dar. Die nach dieser Bestimmung vorgeschriebene Beschränkung der Rügegründe und das über die Begründungspflicht nach Art. 42 Abs. 2 BGG hinausgehende Rügeprinzip im Sinne von Art. 106 Abs. 2 BGG sind demnach nicht anwendbar. Das gilt auch bei der Beschlagnahme von Gegenständen und Vermögenswerten ( Art. 263 ff. StPO ; vgl. BGE 129 I 103 E. 2 S. 105 ff.). Soweit über die Verwendung beschlagnahmter Güter erst mit dem Abschluss des Strafverfahrens definitiv entschieden wird, prüft das Bundesgericht in Bezug auf entsprechende Zwischenentscheide, die unter den Voraussetzungen von Art. 93 Abs. 1 BGG angefochten werden können, die Rechtmässigkeit der Zwangsmassnahme trotz ihres vorsorglichen Charakters wegen der Schwere des Grundrechtseingriffs und zur Gewährleistung der Garantien der EMRK frei ( Art. 36 und 190 BV ; vgl. BGE 131 I 333 E. 4 S. 339, 425 E. 6.1 S. 434; je mit Hinweisen). Bei der Anwendung unbestimmter Rechtsbegriffe respektiert das Bundesgericht den Beurteilungsspielraum der zuständigen Behörden (vgl. BGE 136 IV 97 E. 4 S. 100 f. mit Hinweisen).</w:t>
      </w:r>
    </w:p>
    <w:p>
      <w:r>
        <w:rPr>
          <w:b/>
        </w:rPr>
        <w:t>E. 2</w:t>
      </w:r>
    </w:p>
    <w:p>
      <w:r>
        <w:t>Nach Art. 221 StPO ist Untersuchungs- und Sicherheitshaft nur zulässig, wenn die beschuldigte Person eines Verbrechens oder Vergehens dringend verdächtig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wahrmachen (Abs. 2). Das zuständige Gericht ordnet gemäss Art. 237 StPO an Stelle der Untersuchungs- oder Sicherheitshaft eine oder mehrere mildere Massnahmen an, wenn sie den gleichen Zweck wie die Haft erfüllen (Abs. 1).</w:t>
      </w:r>
    </w:p>
    <w:p>
      <w:r>
        <w:rPr>
          <w:b/>
        </w:rPr>
        <w:t>E. 3</w:t>
      </w:r>
    </w:p>
    <w:p>
      <w:r>
        <w:t>Der Beschwerdeführer bestreitet den dringenden Tatverdacht der vorsätzlichen Tötung nicht. Er rügt jedoch, die Vorinstanz habe den Haftgrund der Fluchtgefahr gemäss Art. 221 Abs. 1 lit. a StPO zu Unrecht bejaht.</w:t>
      </w:r>
    </w:p>
    <w:p>
      <w:r>
        <w:rPr>
          <w:b/>
        </w:rPr>
        <w:t>E. 3.1</w:t>
      </w:r>
    </w:p>
    <w:p>
      <w:r>
        <w:t>Die Vorinstanz hat erwogen, nach Auffassung des psychiatrischen Gutachters im forensisch-psychiatrischen Gutachten vom 18. November 2010 bedürfe der Beschwerdeführer einer ambulanten Heilbehandlung nach Art. 63 StGB . Ohne suchtspezifische Behandlung seiner früheren Alkoholabhängigkeit sei zu bezweifeln, dass er im Fall seiner Haftentlassung den Umgang mit Alkohol im Griff haben würde. Gemäss Gutachten neige der Beschwerdeführer unter Alkoholeinfluss zu inadäquaten Konfliktlösungen und psychogenen Kurzschlussreaktionen; zudem weise er akzentuierte narzisstische Persönlichkeitszüge auf, die gewisse psychische Auffälligkeiten offenbarten. Diese in seiner psychischen Angeschlagenheit wurzelnde Unberechenbarkeit und die drohende hohe Freiheitsstrafe seien gewichtige Indizien für das Vorliegen von Fluchtgefahr. Bei dieser Sachlage lasse sich mit allfälligen strafprozessualen Ersatzmassnahmen nach Art. 237 StPO , wie sie die Verteidigung vorschlage (Beginn einer Gesprächs- und Antabustherapie), der dargelegten Fluchtgefahr nicht ausreichend begegnen.</w:t>
      </w:r>
    </w:p>
    <w:p>
      <w:r>
        <w:rPr>
          <w:b/>
        </w:rPr>
        <w:t>E. 3.2</w:t>
      </w:r>
    </w:p>
    <w:p>
      <w:r>
        <w:t>Der Beschwerdeführer bringt vor, der psychiatrische Gutachter komme zum Schluss, dass er während persönlicher Krisen zu Alkoholexzessen neige. Auch die Hauptargumentation der Vorinstanz gehe dahin, dass er an einer schweren Alkoholabhängigkeit leide und unter Alkoholeinfluss zu inadäquaten Konfliktlösungen und psychogenen Kurzschlussreaktionen tendiere. Damit sei jedoch gleichzeitig auch gesagt, dass die Annahme einer möglichen Fluchtgefahr jeglicher Grundlage entbehre, wenn er keinen Alkohol konsumiere. Genau dies aber sei zurzeit der Fall und könne mit einer Gesprächstherapie sowie mit einer Antabus-Kur auch zukünftig gewährleistet werden. Diese beiden Ersatzmassnahmen böten Sicherheit genug, dass er keinen Alkohol trinke, zumal bei einer Freilassung nicht mit dem Auftreten einer persönlichen Krisensituation zu rechnen sei. Zusammenfassend seien keine Umstände ersichtlich, welche bei einer Haftentlassung bei gleichzeitiger totaler Alkoholabstinenz für das Vorliegen von Fluchtgefahr sprechen würden.</w:t>
      </w:r>
    </w:p>
    <w:p>
      <w:r>
        <w:rPr>
          <w:b/>
        </w:rPr>
        <w:t>E. 3.3</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Auch psychische Auffälligkeiten, die auf eine besondere Neigung zu Impulsausbrüchen bzw. Kurzschlusshandlungen schliessen lassen, können eine Fluchtneigung erhöhen ( BGE 123 I 268 E. 2e S. 271 ff.; Urteil 1B_172/2010 vom 25. Oktober 2010 E. 3.3).</w:t>
      </w:r>
    </w:p>
    <w:p>
      <w:r>
        <w:rPr>
          <w:b/>
        </w:rPr>
        <w:t>E. 3.4</w:t>
      </w:r>
    </w:p>
    <w:p>
      <w:r>
        <w:t>Dem Beschwerdeführer droht eine mehrjährige Freiheitsstrafe, was einen gewichtigen Anreiz zur Flucht darstellt, wobei im Haftprüfungsverfahren entgegen den Ausführungen in der Beschwerde die Möglichkeit der bedingten Entlassung nach zwei Dritteln der Strafe gemäss Art. 86 Abs. 1 StGB praxisgemäss nicht zu berücksichtigen ist (vgl. Urteil des Bundesgerichts 1B_3/2010 vom 25. Januar 2010).</w:t>
      </w:r>
    </w:p>
    <w:p>
      <w:r>
        <w:t>Der Beschwerdeführer stellt in seiner Beschwerde nicht in Abrede, dass er reisegewandt ist und sich mehrmals in Thailand aufgehalten hat. Ebenso wenig bestreitet er, dass er unter Alkoholeinfluss zu inadäquaten Konfliktlösungen und Kurzschlussreaktionen neigt. Dass es aber dem Beschwerdeführer in Freiheit gelingen würde, gänzlich alkoholabstinent zu leben, erscheint keineswegs gesichert. Die im Ergebnis von der Vorinstanz gezogene Schlussfolgerung, wonach die vom Beschwerdeführer vorgeschlagenen Ersatzmassnahmen der Durchführung einer ambulanten Gesprächstherapie und der Behandlung mit Antabus nicht hinreichend Sicherheit bieten können für eine Alkoholabstinenz und das Verhindern einer möglichen Flucht ins Ausland als Folge einer Kurzschlussreaktion, ist nicht zu beanstanden. Insbesondere angesichts der (von der Vorinstanz willkürfrei festgestellten) psychischen Verfassung des Beschwerdeführers erscheint es fraglich, ob dieser willens und in der Lage wäre, die für eine erfolgreiche Gesprächs- und Antabustherapie notwendige Disziplin aufzubringen (vgl. insoweit auch das Urteil des Bundesgerichts 1B_254/2010 vom 25. August 2010 E. 2.5.3). Des Weiteren verletzt es kein Bundesrecht, dass die Vorinstanz die gemäss Gutachter akzentuierten narzisstischen Persönlichkeitszüge des Beschwerdeführers unabhängig von der Alkoholproblematik als Indiz für eine bestehende Fluchtgefahr gewertet hat.</w:t>
      </w:r>
    </w:p>
    <w:p>
      <w:r>
        <w:t>Bei dieser Sachlage hat die Vorinstanz die Fluchtgefahr zu Recht bejaht.</w:t>
      </w:r>
    </w:p>
    <w:p>
      <w:r>
        <w:rPr>
          <w:b/>
        </w:rPr>
        <w:t>E. 4</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