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1B_277/2010 vom 7. September 2010</w:t>
      </w:r>
    </w:p>
    <w:p>
      <w:r>
        <w:t>Bundesgericht, 2010-09-07, DE</w:t>
      </w:r>
    </w:p>
    <w:p>
      <w:r>
        <w:rPr>
          <w:b/>
        </w:rPr>
        <w:t xml:space="preserve">Quelle: </w:t>
      </w:r>
      <w:r>
        <w:t>https://mcp.opencaselaw.ch/entscheid/bger_1B_277_2010</w:t>
      </w:r>
    </w:p>
    <w:p>
      <w:r>
        <w:t>FR: TF 1B_277/2010 du 7 septembre 2010</w:t>
      </w:r>
    </w:p>
    <w:p>
      <w:r>
        <w:t>IT: TF 1B_277/2010 del 7 settembre 2010</w:t>
      </w:r>
    </w:p>
    <w:p>
      <w:pPr>
        <w:pStyle w:val="Heading2"/>
      </w:pPr>
      <w:r>
        <w:t>Erwägungen</w:t>
      </w:r>
    </w:p>
    <w:p>
      <w:r>
        <w:rPr>
          <w:b/>
        </w:rPr>
        <w:t>E. 1</w:t>
      </w:r>
    </w:p>
    <w:p>
      <w:r>
        <w:t>Die Beschwerde in Strafsachen nach den Art. 78 ff. BGG ist gegeben. Der Antrag auf Aufhebung des angefochtenen Entscheids und Haftentlassung ist zulässig ( BGE 132 I 21 E. 1). Die weiteren Sachurteilsvoraussetzungen geben zu keinen Bemerkungen Anlass, sodass auf die Beschwerde eingetreten werden kann.</w:t>
      </w:r>
    </w:p>
    <w:p>
      <w:r>
        <w:rPr>
          <w:b/>
        </w:rPr>
        <w:t>E. 2</w:t>
      </w:r>
    </w:p>
    <w:p>
      <w:r>
        <w:t>Unbestritten ist, dass der Beschwerdeführer der ihm vorgeworfenen Straftaten dringend verdächtig ist. Die Haftrichterin ist im angefochtenen Entscheid zum Schluss gekommen, es bestehe Fortsetzungsgefahr, was der Beschwerdeführer bestreitet. Die Staatsanwaltschaft macht demgegenüber geltend, es bestehe zudem Kollusionsgefahr, was die Haftrichterin offen liess.</w:t>
      </w:r>
    </w:p>
    <w:p>
      <w:r>
        <w:rPr>
          <w:b/>
        </w:rPr>
        <w:t>E. 2.1</w:t>
      </w:r>
    </w:p>
    <w:p>
      <w:r>
        <w:t>Untersuchungshaft kann im Kanton Zürich nach § 58 Abs. 1 Ziff. 3 der Strafprozessordnung des Kantons Zürich vom 4. Mai 1919 (StPO) unter anderem angeordnet werden, wenn der Beschuldigte eines Verbrechens oder Vergehens dringend verdächtig ist und ernsthaft zu befürchten ist, er werde, "nachdem er bereits zahlreiche Verbrechen oder erhebliche Vergehen verübt hat, erneut solche Straftaten begehen". Liegt ausser dem allgemeinen Haftgrund des dringenden Tatverdachts Fortsetzungsgefahr vor, steht einer Inhaftierung auch unter dem Gesichtspunkt der persönlichen Freiheit von Art. 10 Abs. 2 BV grundsätzlich nichts entgegen.</w:t>
      </w:r>
    </w:p>
    <w:p>
      <w:r>
        <w:rPr>
          <w:b/>
        </w:rPr>
        <w:t>E. 2.2</w:t>
      </w:r>
    </w:p>
    <w:p>
      <w:r>
        <w:t>Die Anordnung von Untersuchungshaft wegen Fortsetzungsgefahr soll den Beschuldigten daran hindern, weitere Straftaten zu begehen, dient somit in erster Linie der Spezialprävention. Sie stellt einen schwerwiegenden Eingriff in die persönliche Freiheit dar, weshalb bei der Annahme, der Angeschuldigte könnte weitere Straftaten begehen, Zurückhaltung geboten ist. Eine solche Anordnung ist verhältnismässig, wenn einerseits die Rückfallprognose sehr ungünstig und anderseits die zu befürchtenden Delikte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Fortführung der Haft abgesehen und an ihrer Stelle eine dieser Ersatzmassnahmen angeordnet werden ( BGE 125 I 60 E. 3a ; 124 I 208 E. 5 S. 213 ; 123 I 268 E. 2c ).</w:t>
      </w:r>
    </w:p>
    <w:p>
      <w:r>
        <w:rPr>
          <w:b/>
        </w:rPr>
        <w:t>E. 2.3</w:t>
      </w:r>
    </w:p>
    <w:p>
      <w:r>
        <w:t>Der am 30. Mai 1984 geborene Beschwerdeführer hat laut Strafregisterauszug drei Vorstrafen. Am 5. Dezember 2002 wurde er wegen Diebstahls und betrügerischen Missbrauchs einer Datenanlage zu 20 Tagen Gefängnis bedingt verurteilt. Die Probezeit von zwei Jahren bestand er nicht. Am 22. April 2004 wurde er wegen mehrfachen bandenmässigen Diebstahls, Raubs, Brandstiftung etc., begangen zwischen dem 4. September 2002 und dem 9. September 2003, in eine Arbeitserziehungsanstalt eingewiesen. Nach seiner bedingten Entlassung aus dem Massnahmenvollzug wurde er erneut straffällig. Das Bezirksgericht Zürich verurteilte ihn am 24. Januar 2008 wegen gewerbsmässigen Betrugs und weiterer Delikte zu 18 Monaten Freiheitsstrafe und versetzte ihn in den Vollzug einer Massnahme nach Art. 61 StGB zurück (siehe Entscheid des Bundesgerichts 6B_278/2009 vom 23. Juni 2009). Die Massnahme wurde in der Folge aufgehoben, worauf das Zürcher Obergericht am 7. Juli 2009 den Vollzug der Strafe anordnete.</w:t>
      </w:r>
    </w:p>
    <w:p>
      <w:r>
        <w:t>Bereits aus dieser Darstellung ergibt sich, dass sich der Beschwerdeführer von seiner kurz nach Erreichen der Volljährigkeit erfolgten ersten Verurteilung nicht beeindrucken liess. Er setzte vielmehr seine deliktische Tätigkeit mit tendenziell steigender Intensität fort und nahm die ihm eingeräumten Bewährungschancen nicht wahr. Unter diesen Umständen ist die Einschätzung der Haftrichterin vertretbar, dass sich der Beschwerdeführer auch durch das laufende Strafverfahren nicht würde davon abhalten lassen, seinen Lebensunterhalt weiterhin mit strafbaren Handlungen zu bestreiten oder aufzubessern. Der Beschwerdeführer hatte zwar seit dem 1. November 2009 eine Arbeitsstelle bei der Entsorgung und Recycling Zürich, die er aber nach seiner noch während der Probezeit erfolgten Verhaftung verlor. Ob ihn dieser Arbeitgeber nach einer Entlassung aus der Untersuchungshaft wieder einstellen würde, ist zwar nicht ausgeschlossen, steht aber auch nicht fest; eine entsprechende Zusage liegt jedenfalls nicht vor. Der Beschwerdeführer verfügt damit zurzeit nicht über eine Arbeitsstelle, und es ist auch kein nachvollziehbarer Grund ersichtlich, weshalb er nach einer allfälligen Haftentlassung, anders als bisher, einer geregelten Arbeit nachgehen und von illegalen Geschäften Abstand nehmen sollte. Die Einschätzung der Haftrichterin, dass der Beschwerdeführer bereits "zahlreiche Verbrechen oder erhebliche Vergehen" im Sinn von § 58 Abs. 1 Ziff. 3 StPO verübt hat und im dringenden Verdacht steht, weitere begangen zu haben, weshalb ernsthaft zu befürchten sei, dass er in Freiheit im gleichen Stil weiterfahren und seine deliktische Tätigkeit fortsetzen würde, ist nicht zu beanstanden. Sie hat zu Recht Fortsetzungsgefahr bejaht, und der Beschwerdeführer legt nicht dar, dass die Untersuchungshaft wegen ihrer Dauer bereits unverhältnismässig zu werden droht oder durch mildere Ersatzmassnahmen gebannt werden könnte. Die Rüge, die Haftrichterin habe zu Unrecht Fortsetzungsgefahr angenommen, ist unbegründet. Damit kann offen bleiben, ob auch Kollusionsgefahr besteht.</w:t>
      </w:r>
    </w:p>
    <w:p>
      <w:r>
        <w:rPr>
          <w:b/>
        </w:rPr>
        <w:t>E. 3</w:t>
      </w:r>
    </w:p>
    <w:p>
      <w:r>
        <w:t>Die Beschwerde ist somit abzuweisen. Bei diesem Ausgang des Verfahrens wird der Beschwerdeführer an sich kostenpflichtig ( Art. 66 Abs. 1 BGG ). Er hat jedoch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