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275/2019 vom 12. August 2019</w:t>
      </w:r>
    </w:p>
    <w:p>
      <w:r>
        <w:t>Bundesgericht, 2019-08-12, DE</w:t>
      </w:r>
    </w:p>
    <w:p>
      <w:r>
        <w:rPr>
          <w:b/>
        </w:rPr>
        <w:t xml:space="preserve">Quelle: </w:t>
      </w:r>
      <w:r>
        <w:t>https://mcp.opencaselaw.ch/entscheid/bger_1B_275_2019</w:t>
      </w:r>
    </w:p>
    <w:p>
      <w:r>
        <w:t>FR: TF 1B 275/2019 du 12 août 2019</w:t>
      </w:r>
    </w:p>
    <w:p>
      <w:r>
        <w:t>IT: TF 1B 275/2019 del 12 agosto 2019</w:t>
      </w:r>
    </w:p>
    <w:p>
      <w:pPr>
        <w:pStyle w:val="Heading2"/>
      </w:pPr>
      <w:r>
        <w:t>Regeste</w:t>
      </w:r>
    </w:p>
    <w:p>
      <w:r>
        <w:t>Strafverfahren; Entsiegelung | Strafprozess</w:t>
      </w:r>
    </w:p>
    <w:p>
      <w:pPr>
        <w:pStyle w:val="Heading2"/>
      </w:pPr>
      <w:r>
        <w:t>Erwägungen</w:t>
      </w:r>
    </w:p>
    <w:p>
      <w:r>
        <w:rPr>
          <w:b/>
        </w:rPr>
        <w:t>E. 1</w:t>
      </w:r>
    </w:p>
    <w:p>
      <w:r>
        <w:t>Angefochten ist eine kantonal letztinstanzliche Verfügung über die Entsiegelung von Daten, die in Anwendung von Art. 246 ff. StPO in einem Strafverfahren sichergestellt wurden. Dagegen steht grundsätzlich die Beschwerde in Strafsachen an das Bundesgericht nach Art. 78 ff. BGG offen. Es handelt sich um einen Zwischenentscheid, der einen auch durch einen Endentscheid in Strafsachen nicht mehr korrigierbaren möglichen Eingriff in die Geheimsphäre der Beschwerdeführerin mit sich bringt. Damit droht dieser ein nicht wieder gutzumachender Nachteil, weshalb die Beschwerde zulässig ist ( Art. 93 Abs. 1 lit. a BGG ; vgl. BGE 135 I 261 E. 1.2 S. 263 mit Hinweisen; nicht amtl. publ. E. 1 von BGE 144 IV 74 und E. 2.1 von BGE 143 IV 270 ). Die Beschwerdeführerin ist Inhaberin des sichergestellten Mobiltelefons sowie der vom angefochtenen Entsiegelungsentscheid betroffenen Daten. Sie ist daher zur Beschwerde legitimiert (vgl. Art. 81 Abs. 1 BGG ). Mit der Beschwerde an das Bundesgericht kann namentlich die Verletzung von Bundesrecht gerügt werden ( Art. 95 Abs. 1 lit. a BGG ).</w:t>
      </w:r>
    </w:p>
    <w:p>
      <w:r>
        <w:rPr>
          <w:b/>
        </w:rPr>
        <w:t>E. 2.1</w:t>
      </w:r>
    </w:p>
    <w:p>
      <w:r>
        <w:t>Die Staats- und Jugendanwaltschaft macht geltend, die Beschwerdeführerin stelle keinen rechtsgenüglichen Antrag und ihre Beschwerdebegründung erfülle die gesetzlichen Anforderungen nicht.</w:t>
      </w:r>
    </w:p>
    <w:p>
      <w:r>
        <w:rPr>
          <w:b/>
        </w:rPr>
        <w:t>E. 2.2</w:t>
      </w:r>
    </w:p>
    <w:p>
      <w:r>
        <w:t>Nach Art. 42 Abs. 1 BGG haben die Rechtsschriften an das Bundesgericht unter anderem die Begehren und deren Begründung zu enthalten.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2.3</w:t>
      </w:r>
    </w:p>
    <w:p>
      <w:r>
        <w:t>Die eingereichte Beschwerdeschrift enthielt in erster Linie prozessuale Begehren wie ein solches auf Erteilung der aufschiebenden Wirkung und auf Gewährung der unentgeltlichen Rechtspflege. Zwar stellte die Beschwerdeführerin keinen ausdrücklichen Antrag in der Sache und ging die von ihr in Aussicht gestellte Beschwerdeergänzung nie beim Bundesgericht ein. Indessen geht aus den Ausführungen in der Beschwerdeschrift hinreichend klar hervor, dass die Beschwerdeführerin insoweit die Aufhebung des angefochtenen Entscheids anstrebt, als das Zwangsmassnahmengericht davon absieht, selbst die Triage der zu entsiegelnden Daten vorzunehmen. Mit Blick darauf, dass es sich um eine Laienbeschwerde handelt, liegt damit ein ausreichendes Rechtsbegehren vor.</w:t>
      </w:r>
    </w:p>
    <w:p>
      <w:r>
        <w:rPr>
          <w:b/>
        </w:rPr>
        <w:t>E. 2.4</w:t>
      </w:r>
    </w:p>
    <w:p>
      <w:r>
        <w:t>Analoges gilt für die Beschwerdebegründung. Daraus geht nachvollziehbar hervor, dass die Beschwerdeführerin die Bundesrechtswidrigkeit des angefochtenen Entscheids rügt. Diese sieht sie in einer Verletzung des Grundsatzes der Trennung von Anklage und Gericht. Das genügt für eine Laienbeschwerde. Im Übrigen wäre die Beschwerde nur schon deswegen zulässig, weil der angefochtene Entscheid diesbezüglich offensichtlich gegen Bundesrecht verstösst (vgl. die nachfolgende E. 3). Soweit die Beschwerdeführerin sonstige Rügen, wie etwa die Unzulässigkeit der Hausdurchsuchung oder der Siegelung als solche, erhebt, genügen ihre Ausführungen hingegen nicht und kann auf die Beschwerde nicht eingegangen werden.</w:t>
      </w:r>
    </w:p>
    <w:p>
      <w:r>
        <w:rPr>
          <w:b/>
        </w:rPr>
        <w:t>E. 3.1</w:t>
      </w:r>
    </w:p>
    <w:p>
      <w:r>
        <w:t>Die Staats- und Jugendanwaltschaft macht geltend, die Vorinstanz vermische Sicherstellung, Siegelung, Entsiegelung und Beschlagnahme, ihr Entscheid sei aber bei richtiger Lesart dennoch mit dem Bundesrecht vereinbar. Indessen setzt sich das Zwangsmassnahmengericht bewusst und ausdrücklich in Widerspruch zur bundesgerichtlichen Rechtsprechung. Der angefochtene Entscheid lässt sich daher insoweit nicht korrigierend ganz oder teilweise bundesrechtskonform auslegen.</w:t>
      </w:r>
    </w:p>
    <w:p>
      <w:r>
        <w:rPr>
          <w:b/>
        </w:rPr>
        <w:t>E. 3.2</w:t>
      </w:r>
    </w:p>
    <w:p>
      <w:r>
        <w:t>Nach der bundesgerichtlichen Rechtsprechung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 Art. 248 Abs. 1 StPO ). Stellt die Staatsanwaltschaft im Vorverfahren ein Entsiegelungsgesuch, hat das Zwangsmassnahmengericht im Entsiegelungsverfahren zu prüfen, ob schutzwürdige Geheimnisinteressen oder andere gesetzliche Entsiegelungshindernisse einer Durchsuchung entgegenstehen ( Art. 248 Abs. 2-4 StPO ; vgl. BGE 144 IV 74 E. 2.2 S. 77; 142 IV 372 E. 3 S. 374 ff.; 141 IV 77 E. 4.1 S. 81).</w:t>
      </w:r>
    </w:p>
    <w:p>
      <w:r>
        <w:rPr>
          <w:b/>
        </w:rPr>
        <w:t>E. 3.3</w:t>
      </w:r>
    </w:p>
    <w:p>
      <w:r>
        <w:t>In E. 3.4 des angefochtenen Entscheids begründet das Zwangsmassnahmengericht ausdrücklich, weshalb es von der bundesgerichtlichen Rechtsprechung (dazu ausführlich BGE 142 IV 372 E. 3.1 S. 374 f.) abweicht und die Kantonspolizei als Organ der Strafverfolgungsbehörden damit beauftragt, die angeordnete Aussonderung vorzunehmen. Die vorgebrachten Argumente überzeugen jedoch nicht. Der Wortlaut von Art. 248 StPO ist in dem Sinne doppelt eindeutig, als er festhält, dass auszusondernde Aufzeichnungen von den Strafbehörden nicht nur nicht verwendet, sondern auch nicht eingesehen werden dürfen (Abs. 1) und dass über ein Entsiegelungsgesuch im Vorverfahren das Zwangsmassnahmengericht bzw. ansonsten das Gericht, bei dem der Fall hängig ist, zu entscheiden hat (Abs. 3); das Gericht kann dafür überdies eine sachverständige Person beiziehen (Abs. 4), wird also gesetzlich ermächtigt, sich Unterstützung zu organisieren. Zwar unterstehen sowohl die Strafverfolgungsbehörden als auch das Zwangsmassnahmengericht der Anzeigepflicht nach Art. 302 Abs. 1 StPO sowie dem Amtsgeheimnis gemäss Art. 320 Ziff. 1 StGB . Die in der bundesgerichtlichen Rechtsprechung bestätigte Zuständigkeit des Zwangsmassnahmengerichts für die Aussonderung dient aber nicht allein der Verhinderung von Zufallsfunden, sondern der Wahrung der unter verfassungsrechtlichem Schutz stehenden Privat- und Geheimsphäre (vgl. Art. 13 BV ). Nur schon daher rechtfertigt es sich, dass ein Gericht und nicht eine Strafverfolgungsbehörde über die Massgeblichkeit sichergestellter Informationen entscheidet. In der Literatur wird dazu ausdrücklich festgehalten, "Ziel des Entsiegelungsverfahrens" sei es, "zu verhindern, dass Informationen zur Kenntnis der Strafbehörden gelangen, wenn die diesbezüglichen Voraussetzungen aufgrund der dem Gesetz inhärenten Interessenabwägungen nicht gegeben" seien (THORMANN/BRECHBÜHL, in: Niggli et al. [Hrsg.], Schweizerische Strafprozessordnung, Basler Kommentar, 2. Aufl., 2014, Art. 248 N. 40) bzw. "der Zweck der Siegelung" setze voraus, "dass ein neutraler, d.h. mit der Sachverhaltsermittlung nicht befasster, Richter über die Zulässigkeit der Durchsuchung vor deren Durchführung" entscheide, und die Zuständigkeit des Zwangsmassnahmengerichts erfülle diese Voraussetzung (THORMANN/BRECHBÜHL, a.a.O., Art. 248 N. 30). Dass hierbei allenfalls zwischen der Anordnung und der Vornahme der Entsiegelung zu unterscheiden sei, wird nicht ausgeführt. Inwiefern eine Aussonderung durch die Untersuchungsbehörden sodann effizienter und kostengünstiger sein sollte, wie die Vorinstanz ebenfalls geltend macht, ist nicht ersichtlich. Der Aufwand ist für das Zwangsmassnahmengericht grundsätzlich derselbe, wobei es, wie dargelegt, gesetzlich ermächtigt ist, sachverständige Unterstützung beizuziehen. Im Übrigen würde sich selbst ein gewisser Mehraufwand mit Blick auf die zu schützenden Privat- und Geheimhaltungsinteressen rechtfertigen. Das steht nicht im Widerspruch zu Art. 43a Abs. 5 BV , wonach staatliche Aufgaben bedarfsgerecht und wirtschaftlich erfüllt werden müssen. Die staatliche Aufgabenerfüllung steht so oder so unter dem Vorbehalt der Beachtung der Grundrechte (vgl. Art. 35 Abs. 1 und 2 BV ) und der für deren Verwirklichung erforderlichen organisatorischen und finanziellen Rahmenbedingungen (dazu etwa BERNHARD WALDMANN, in Waldmann et al. [Hrsg.], Bundesverfassung, Basler Kommentar, 2015, Art. 35 N. 49), was von Art. 43a Abs. 5 BV nicht eingeschränkt wird. Die bundesgerichtliche Rechtsprechung ist daher wohl begründet und es besteht kein Anlass, davon abzuweichen. Im angefochtenen Entscheid wird denn auch keinerlei wissenschaftliche Kritik daran angerufen. Im Gegenteil wird im Schrifttum im Einklang damit etwa ausdrücklich festgehalten, "der Entsiegelungsrichter" (und nicht die Strafverfolgungsbehörden) habe, "sofern notwendig, die geheimnisgeschützten Aufzeichnungen und Gegenstände auszusondern" (THORMANN/BRECHBÜHL, a.a.O., Art. 248 N. 41).</w:t>
      </w:r>
    </w:p>
    <w:p>
      <w:r>
        <w:rPr>
          <w:b/>
        </w:rPr>
        <w:t>E. 3.4</w:t>
      </w:r>
    </w:p>
    <w:p>
      <w:r>
        <w:t>Der angefochtene Entscheid verstösst somit gegen Bundesrecht. Das Zwangsmassnahmengericht wird die Prüfung, wieweit das sichergestellte Mobiltelefon auszusondernde Informationen enthält, sowie die allfällige Aussonderung solcher Informationen selbst durchzuführen und in der Folge einen neuen Entscheid in der Sache zu fällen haben. Dabei wird das Gericht alle Daten, deren Verfahrensrelevanz die Beschwerdeführerin in Frage stellt, konkret dahingehend zu prüfen haben, ob sie entsiegelt werden dürfen.</w:t>
      </w:r>
    </w:p>
    <w:p>
      <w:r>
        <w:rPr>
          <w:b/>
        </w:rPr>
        <w:t>E. 4</w:t>
      </w:r>
    </w:p>
    <w:p>
      <w:r>
        <w:t>Die Beschwerde erweist sich als begründet und ist gutzuheissen, soweit darauf eingetreten werden kann. Der angefochtene Entscheid ist aufzuheben. Die Streitsache ist an die Vorinstanz zurückzuweisen zu neuem Entscheid im Sinne der Erwägungen. Bei diesem Verfahrensausgang sind für das bundesgerichtliche Verfahren keine Kosten zu erheben ( Art. 66 Abs. 1 und 4 BGG ). Damit ist das Gesuch um Gewährung der unentgeltlichen Rechtspflege im bundesgerichtlichen Verfahren als gegenstandslos abzuschreiben. Eine Parteientschädigung fällt praxisgemäss ausser Betracht, nachdem die Beschwerdeführerin nicht anwaltlich vertreten ist und im vorliegenden Fall kein besonderer Aufwand angefallen und belegt ist (vgl. BGE 133 III 439 E. 4 S. 446;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