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1B_275/2015 vom 29. September 2015</w:t>
      </w:r>
    </w:p>
    <w:p>
      <w:r>
        <w:t>Bundesgericht, 2015-09-29, FR</w:t>
      </w:r>
    </w:p>
    <w:p>
      <w:r>
        <w:rPr>
          <w:b/>
        </w:rPr>
        <w:t xml:space="preserve">Quelle: </w:t>
      </w:r>
      <w:r>
        <w:t>https://mcp.opencaselaw.ch/entscheid/bger_1B_275_2015</w:t>
      </w:r>
    </w:p>
    <w:p>
      <w:r>
        <w:t>FR: TF 1B_275/2015 du 29 septembre 2015</w:t>
      </w:r>
    </w:p>
    <w:p>
      <w:r>
        <w:t>IT: TF 1B_275/2015 del 29 settembre 2015</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 ATF 137 IV 22 consid. 1 p. 23).</w:t>
      </w:r>
    </w:p>
    <w:p>
      <w:r>
        <w:rPr>
          <w:b/>
        </w:rPr>
        <w:t>E. 2</w:t>
      </w:r>
    </w:p>
    <w:p>
      <w:r>
        <w:t>Conformément à l' art. 100 al. 1 LTF , le recours contre une décision doit être déposé devant le Tribunal fédéral dans les 30 jours qui suivent la notification de l'expédition complète. Dans certaines causes, ce délai est suspendu du 15 juillet au 15 août inclus ( art. 46 al. 1 let. b LTF ). Cette suspension n'est cependant pas applicable aux causes qui concernent la détention provisoire ( ATF 133 I 270 consid. 1.2.2 p. 274) ou ses modalités (arrêt 1B_226/2008 du 29 septembre 2008 consid. 4.1) ni à celles qui visent les mesures de substitution de cette détention (arrêts 1B_172/2014 du 8 août 2014 consid. 2 et 1B_1/2010 du 5 février 2010 consid. 1.2). Dans ces domaines, l'exigence de célérité de la procédure ne se concilie pas avec la suspension des délais (Jean-Marie Frésard, Commentaire de la LTF, n. 15 ad art. 46 LTF ; Amstutz/Arnold, Basler Kommentar, Bundesgerichtsgesetz, n. 13 ad art. 47 LTF ).</w:t>
      </w:r>
    </w:p>
    <w:p>
      <w:r>
        <w:t>Sur le fond, le recourant soutient que les conditions dans lesquelles s'est déroulée sa détention, provisoire puis pour des motifs de sûreté, contreviennent aux garanties constitutionnelles et conventionnelles visant à protéger la dignité humaine. Dans un tel cas, l'intéressé dispose d'un droit propre à ce que les agissements dénoncés fassent l'objet d'une enquête prompte et impartiale. Selon la jurisprudence, c'est à la juridiction investie du contrôle de la détention qu'il appartient d'intervenir ( ATF 140 I 125 consid. 2.1 p. 128 et l'arrêt cité). Dans ce contexte, on peut considérer que la procédure relative aux conditions de la détention s'inscrit dans le cadre du contrôle de la détention au sens large ( ATF 140 I 125 consid. 2.3 p. 130).</w:t>
      </w:r>
    </w:p>
    <w:p>
      <w:r>
        <w:t>Au vu de ce qui précède, l'arrêt attaqué concerne la détention provisoire au sens large; il statue en outre sur un recours dirigé contre un jugement du Tribunal des mesures de contrainte, soit émanant de la juridiction investie du contrôle de la détention; par ailleurs, l'exigence de célérité de cette procédure est attestée par le caractère prompt que doit avoir l'enquête en cas de suspicion de traitement contraire à la dignité humaine; enfin, il existe aussi un intérêt public à statuer rapidement sur les conditions de détention, puisque la prise en considération de ces éléments incombe prioritairement à l'autorité de jugement, soit lors de la fixation de la peine, soit par le biais d'une indemnisation ( ATF 140 I 125 consid. 2.1 p. 128; 140 I 246 consid. 2.5.1 p. 250).</w:t>
      </w:r>
    </w:p>
    <w:p>
      <w:r>
        <w:t>Par conséquent, le recours posté le 20 août 2015 - en tenant à tort compte des féries - est tardif et doit être déclaré irrecevable.</w:t>
      </w:r>
    </w:p>
    <w:p>
      <w:r>
        <w:rPr>
          <w:b/>
        </w:rPr>
        <w:t>E. 3</w:t>
      </w:r>
    </w:p>
    <w:p>
      <w:r>
        <w:t>Les frais du présent arrêt seront mis à la charge du recourant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