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275/2008 vom 4. November 2008</w:t>
      </w:r>
    </w:p>
    <w:p>
      <w:r>
        <w:t>Bundesgericht, 2008-11-04, FR</w:t>
      </w:r>
    </w:p>
    <w:p>
      <w:r>
        <w:rPr>
          <w:b/>
        </w:rPr>
        <w:t xml:space="preserve">Quelle: </w:t>
      </w:r>
      <w:r>
        <w:t>https://mcp.opencaselaw.ch/entscheid/bger_1B_275_2008</w:t>
      </w:r>
    </w:p>
    <w:p>
      <w:r>
        <w:t>FR: TF 1B 275/2008 du 4 novembre 2008</w:t>
      </w:r>
    </w:p>
    <w:p>
      <w:r>
        <w:t>IT: TF 1B 275/2008 del 4 novembre 2008</w:t>
      </w:r>
    </w:p>
    <w:p>
      <w:pPr>
        <w:pStyle w:val="Heading2"/>
      </w:pPr>
      <w:r>
        <w:t>Regeste</w:t>
      </w:r>
    </w:p>
    <w:p>
      <w:r>
        <w:t>détention après jugement | Procédure pénale</w:t>
      </w:r>
    </w:p>
    <w:p>
      <w:pPr>
        <w:pStyle w:val="Heading2"/>
      </w:pPr>
      <w:r>
        <w:t>Erwägungen</w:t>
      </w:r>
    </w:p>
    <w:p>
      <w:r>
        <w:rPr>
          <w:b/>
        </w:rPr>
        <w:t>E. 1</w:t>
      </w:r>
    </w:p>
    <w:p>
      <w:r>
        <w:t>Les arrêts relatifs au maintien en détention sont des décisions en matière pénale au sens de l' art. 78 al. 1 LTF . Rendus en dernière instance cantonale ( art. 80 al. 1 LTF ), ils peuvent faire l'objet d'un recours en matière pénale. Le recourant a qualité pour agir au sens de l' art. 81 al. 1 let. a LTF ; il a agi dans le délai de trente jours ( art. 100 al. 1 LTF ).</w:t>
      </w:r>
    </w:p>
    <w:p>
      <w:r>
        <w:rPr>
          <w:b/>
        </w:rPr>
        <w:t>E. 1.1</w:t>
      </w:r>
    </w:p>
    <w:p>
      <w:r>
        <w:t>Le recours initial est dirigé contre un arrêt qui maintient le recourant en détention préventive. La cour cantonale a en effet considéré que, compte tenu de l'effet suspensif dont est assorti le recours cantonal en vertu de l' art. 424a CPP /VD, le recourant se trouvait toujours en détention préventive; la cour cantonale a ensuite appliqué les critères posés à l' art. 59 CPP /VD, soit l'existence de charges suffisantes ainsi que les risques de fuite et de réitération.</w:t>
      </w:r>
    </w:p>
    <w:p>
      <w:r>
        <w:rPr>
          <w:b/>
        </w:rPr>
        <w:t>E. 1.2</w:t>
      </w:r>
    </w:p>
    <w:p>
      <w:r>
        <w:t>Depuis le prononcé de la Cour de cassation confirmant la condamnation, le recourant se trouve non plus en détention préventive, mais en exécution de peine, sous réserve de l'effet suspensif attaché à un éventuel recours auprès du Tribunal fédéral. Se pose dès lors la question de l'intérêt au recours. En effet, selon la jurisprudence relative à l'ancien recours de droit public, qui demeure pertinente sous l'angle de l' art. 76 al. 1 let. b LTF ( ATF 134 I 139 consid. 2.1), le recourant doit avoir un intérêt actuel et pratique à l'admission de son recours ( ATF 131 I 153 consid. 1.2; 127 III 41 consid. 2b; 125 II 86 consid. 5b et les arrêts cités). Le Tribunal fédéral se prononce en effet sur des questions concrètes et non pas simplement théoriques ( ATF 131 I 153 consid. 1.2; 125 I 394 consid. 4a). L'intérêt actuel fait défaut en particulier lorsque la décision attaquée a été exécutée ou est devenue sans objet ( ATF 125 II 86 consid. 5b; 120 Ia 165 consid. 1a et les arrêts cités). Se trouvant, depuis l'arrêt de la Cour de cassation du 3 octobre 2008, en exécution de peine, le recourant ne dispose plus d'un intérêt à ce que soit examinée la légalité de la détention subie, à un autre titre et à des conditions différentes, avant cette date.</w:t>
      </w:r>
    </w:p>
    <w:p>
      <w:r>
        <w:rPr>
          <w:b/>
        </w:rPr>
        <w:t>E. 1.3</w:t>
      </w:r>
    </w:p>
    <w:p>
      <w:r>
        <w:t>La jurisprudence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134 I 209 consid. 1.2; 131 II 670 consid. 1.2; 128 I 34 consid. 1b; 127 I 164 consid. 1a; 126 I 250 consid. 1b; 125 I 394 consid. 4b; 124 I 231 consid. 1b; 121 I 279 consid. 1; 120 Ia 165 consid. 1a et les arrêts cités). En l'espèce, le recourant pourrait se retrouver dans un régime de détention assimilable à la détention préventive dans l'hypothèse d'un recours au Tribunal fédéral assorti de l'effet suspensif, ou en cas d'admission de ce recours et de renvoi de la cause pour nouveau jugement. Rien ne permet toutefois de penser que, dans de tels cas, le recourant ne pourrait recourir à temps, le cas échéant jusqu'au Tribunal fédéral, pour obtenir, comme l'exige l' art. 5 par. 4 CEDH , un contrôle judiciaire à bref délai de sa détention (cf. arrêts 1P.732/1998 du 20 janvier 1999 et 1P.224/1999 du 12 mai 1999). Le recours est par conséquent irrecevable en tant qu'il est dirigé contre l'arrêt du 19 septembre 2008. Supposé recevable, il devrait de toute manière être rejeté, sur le vu des considérations qui suivent.</w:t>
      </w:r>
    </w:p>
    <w:p>
      <w:r>
        <w:rPr>
          <w:b/>
        </w:rPr>
        <w:t>E. 2</w:t>
      </w:r>
    </w:p>
    <w:p>
      <w:r>
        <w:t>Le recourant a déclaré, tant dans son recours initial que dans ses observations du 27 octobre 2008, que son recours était également dirigé contre la seconde décision rendue le 24 octobre 2008 par le Président de la Cour de cassation sur sa demande d'effet suspensif. Le recourant a agi en temps utile, et la décision présidentielle ne peut apparemment pas faire l'objet d'un recours cantonal. Toutefois, le recourant ne présente pas de conclusions formelles à l'encontre de cette décision. Par ailleurs, sa motivation consiste exclusivement en un renvoi au recours initial, procédé dont la recevabilité apparaît douteuse au regard de l' art. 42 al. 1 LTF . Ces questions peuvent elles aussi demeurer indécises, car le recours dirigé contre la décision du 24 octobre 2008 apparaît mal fondé.</w:t>
      </w:r>
    </w:p>
    <w:p>
      <w:r>
        <w:rPr>
          <w:b/>
        </w:rPr>
        <w:t>E. 2.1</w:t>
      </w:r>
    </w:p>
    <w:p>
      <w:r>
        <w:t>Le Président a considéré que l'intéressé n'avait pas encore recouru au Tribunal fédéral contre l'arrêt du 3 octobre 2008, dont il ne connaissait pas encore les motifs, de sorte qu'il n'y avait pas matière à effet suspensif. Le recourant relève qu'en vertu de l' art. 434 al. 3 et 4 CPP /VD, c'est au Président qu'il appartient de statuer sur l'effet suspensif d'un recours au Tribunal fédéral, tant que la cour saisie n'est pas compétente pour le faire.</w:t>
      </w:r>
    </w:p>
    <w:p>
      <w:r>
        <w:rPr>
          <w:b/>
        </w:rPr>
        <w:t>E. 2.2</w:t>
      </w:r>
    </w:p>
    <w:p>
      <w:r>
        <w:t>La demande présentée au Président n'avait d'autre but que d'obtenir une mise en liberté; elle a été traitée comme telle et le recourant n'indique pas en quoi cette appréciation violerait le droit constitutionnel. Au demeurant, même si elle devait être interprétée comme une demande d'effet suspensif, la démarche du recourant impliquait une pesée des intérêts incluant une appréciation des risques de fuite et de réitération; l'autorité intimée ne pouvait se contenter, comme le soutient le recourant, d'évaluer les chances de succès du recours.</w:t>
      </w:r>
    </w:p>
    <w:p>
      <w:r>
        <w:rPr>
          <w:b/>
        </w:rPr>
        <w:t>E. 2.3</w:t>
      </w:r>
    </w:p>
    <w:p>
      <w:r>
        <w:t>Appliquant l' art. 59 CPP /VD relatif à la détention préventive, le Président a estimé que les charges, telles qu'elles ressortaient de la condamnation confirmée par la Cour de cassation, étaient suffisantes, et que les risques de fuite et de réitération étaient concrets.</w:t>
      </w:r>
    </w:p>
    <w:p>
      <w:r>
        <w:rPr>
          <w:b/>
        </w:rPr>
        <w:t>E. 2.4</w:t>
      </w:r>
    </w:p>
    <w:p>
      <w:r>
        <w:t>Sous l'angle du risque de fuite, les considérations du Président ne prêtent pas le flanc à la critique. En effet, le recourant est de nationalité étrangère et n'a aucune attache, familiale ou professionnelle, avec la Suisse; sa demande d'asile ayant été rejetée, plus rien ne saurait le dissuader de se soustraire, en cas de libération, à l'exécution du solde de sa peine, quelle qu'en soit la durée. Comme le recourant se trouve, à ce stade, en exécution de peine, son maintien en détention ne l'empêchera pas de demander, cas échéant d'obtenir une libération conditionnelle le moment venu. L'argument tiré de la proportionnalité est dès lors mal fondé. Le risque de fuite justifiant à lui seul le maintien en détention, il n'y a pas lieu d'examiner s'il existe également un risque de réitération.</w:t>
      </w:r>
    </w:p>
    <w:p>
      <w:r>
        <w:rPr>
          <w:b/>
        </w:rPr>
        <w:t>E. 3</w:t>
      </w:r>
    </w:p>
    <w:p>
      <w:r>
        <w:t>Sur le vu de ce qui précède, le recours dirigé contre l'arrêt du 19 septembre 2008 est irrecevable. Celui formé contre l'arrêt du 24 octobre 2008 est rejeté dans la mesure où il est recevable. Les conditions de l'assistance judiciaire étant réalisées, Me Kathrin Gruber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