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1B_274/2021 vom 24. August 2021</w:t>
      </w:r>
    </w:p>
    <w:p>
      <w:r>
        <w:t>Bundesgericht, 2021-08-24, DE</w:t>
      </w:r>
    </w:p>
    <w:p>
      <w:r>
        <w:rPr>
          <w:b/>
        </w:rPr>
        <w:t xml:space="preserve">Quelle: </w:t>
      </w:r>
      <w:r>
        <w:t>https://mcp.opencaselaw.ch/entscheid/bger_1B_274_2021</w:t>
      </w:r>
    </w:p>
    <w:p>
      <w:r>
        <w:t>FR: TF 1B_274/2021 du 24 août 2021</w:t>
      </w:r>
    </w:p>
    <w:p>
      <w:r>
        <w:t>IT: TF 1B_274/2021 del 24 agosto 2021</w:t>
      </w:r>
    </w:p>
    <w:p>
      <w:pPr>
        <w:pStyle w:val="Heading2"/>
      </w:pPr>
      <w:r>
        <w:t>Erwägungen</w:t>
      </w:r>
    </w:p>
    <w:p>
      <w:r>
        <w:rPr>
          <w:b/>
        </w:rPr>
        <w:t>E. 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Subsumption unter eine gesetzliche Norm von Bedeutung sind, von der Vorinstanz nicht oder nicht genügend abgeklärt wurden (vgl. BGE 135 II 145 E. 8.2; 119 IV 284 E. 5b; Urteil 6B_1101/2017 vom 30. Mai 2018 E. 5.4.4; je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vgl. zum Ganzen auch Urteil 1B_470/2020 vom 22. Dezember 2020 E. 4.3).</w:t>
      </w:r>
    </w:p>
    <w:p>
      <w:r>
        <w:rPr>
          <w:b/>
        </w:rPr>
        <w:t>E. 2</w:t>
      </w:r>
    </w:p>
    <w:p>
      <w:r>
        <w:t>In der angefochtenen Verfügung vom 12. Mai 2021 lehnte die Vorinstanz die Beantwortung der mit Schreiben vom 10. Mai 2021 gestellten Fragen ab mit der Begründung, diese tangierten das Beratungsgeheimnis und darüber hinaus bestünde kein Rechtsanspruch auf die Auskunftserteilung. Die Begründung beschränkt sich dabei auf drei Sätze und es erschliesst sich insbesondere nicht, auf welche kantonalen oder gegebenenfalls bundesrechtlichen Gesetzesbestimmungen sich die Ablehnung der ersuchten Auskünfte stützt und wie die entsprechenden Gesetzesbestimmungen im konkreten Fall zur Anwendung gekommen sind. Ohne diese Angaben ist die rechtliche Schlussfolgerung der Vorinstanz für das Bundesgericht auf ihre Vereinbarkeit mit Bundesrecht hin nicht überprüfbar. Die angefochtene Verfügung genügt damit den Anforderungen von Art. 112 Abs. 1 lit. b BGG nicht. Sie ist deshalb aufzuheben ( Art. 112 Abs. 3 BGG ) und die Sache an die Vorinstanz zurückzuweisen, damit diese einen den Anforderungen von Art. 112 Abs. 1 lit. b BGG genügenden Entscheid trifft.</w:t>
      </w:r>
    </w:p>
    <w:p>
      <w:r>
        <w:rPr>
          <w:b/>
        </w:rPr>
        <w:t>E. 3</w:t>
      </w:r>
    </w:p>
    <w:p>
      <w:r>
        <w:t>Nach dem Ausgeführten ist die Beschwerde gutzuheissen, die angefochtene Verfügung aufzuheben und die Sache an die Vorinstanz zurückzuweisen zu neuem Entscheid im Sinne der Erwägungen. Vor diesem Hintergrund erübrigt es sich, auf die Rügen der Beschwerdeführerin einzugehen. Bei diesem Ausgang des Verfahrens sind keine Gerichtskosten zu erheben ( Art. 66 Abs. 4 BGG ). Die nicht anwaltlich vertretene Beschwerdeführerin hat keinen Anspruch auf eine Parteientschädigung ( Art. 68 BGG ; vgl. auch Urteil 1B_29/2020 vom 11. September 2020 E. 5). Damit ist der Antrag auf Teilfreigabe der Kontosperre zur Deckung der Kosten des bundesgerichtlichen Verfahrens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