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274/2018 vom 25. Juni 2018</w:t>
      </w:r>
    </w:p>
    <w:p>
      <w:r>
        <w:t>Bundesgericht, 2018-06-25, FR</w:t>
      </w:r>
    </w:p>
    <w:p>
      <w:r>
        <w:rPr>
          <w:b/>
        </w:rPr>
        <w:t xml:space="preserve">Quelle: </w:t>
      </w:r>
      <w:r>
        <w:t>https://mcp.opencaselaw.ch/entscheid/bger_1B_274_2018</w:t>
      </w:r>
    </w:p>
    <w:p>
      <w:r>
        <w:t>FR: TF 1B 274/2018 du 25 juin 2018</w:t>
      </w:r>
    </w:p>
    <w:p>
      <w:r>
        <w:t>IT: TF 1B 274/2018 del 25 giugno 2018</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ATF 137 IV 22 consid. 1 p. 23). Le recourant - prévenu actuellement détenu - a qualité pour recourir (art. 81 al. 1 let. a et b ch. 1 LTF). Pour le surplus, le recours, ainsi que les écritures spontanées du recourant reçues le 12 juin 2018 - dans la mesure où elles concerneraient la présente cause - ont été déposés en temps utile (art. 48 al. 3 et 100 al. 1 LTF) contre une décision rendue par une autorité cantonale contre qui le recours direct au Tribunal fédéral est ouvert ( art. 231, 232 al. 2, 380 CPP et 80 al. 2 in fine LTF; ATF 139 IV 277 consid. 2.2 p. 280 s.). Les conclusions prises par le recourant sont en outre recevables au regard de l' art. 107 al. 2 LTF . Partant,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w:t>
      </w:r>
    </w:p>
    <w:p>
      <w:r>
        <w:rPr>
          <w:b/>
        </w:rPr>
        <w:t>E. 3</w:t>
      </w:r>
    </w:p>
    <w:p>
      <w:r>
        <w:t>Le recourant ne conteste pas l'existence de charges suffisantes pesant à son encontre, ainsi que celle de dangers de fuite et de réitération (art. 221 al. 1 let. a et c CPP). Invoquant les art. 56 al. 2 CP , 212 CPP, 10 al. 2, 5 al. 2 Cst. et 5 CEDH, le recourant reproche en revanche à l'autorité précédente d'avoir violé le principe de proportionnalité, notamment quant à la durée de la détention subie par rapport à la peine prévisible encourue. Il soutient également en substance que, eu égard aux infractions commises, le danger que la mesure ordonnée à son encontre chercherait à prévenir ne justifierait pas la grave atteinte à sa liberté personnelle que constitue la détention.</w:t>
      </w:r>
    </w:p>
    <w:p>
      <w:r>
        <w:rPr>
          <w:b/>
        </w:rPr>
        <w:t>E. 3.1</w:t>
      </w:r>
    </w:p>
    <w:p>
      <w:r>
        <w:t>Une durée excessive de la détention constitue une limitation disproportionnée de ce droit fondamental; il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143 IV 168 consid. 5.1 p. 173; 139 IV 270 consid. 3.1 p. 275 et les arrêts cités). Selon l' art. 56 al. 2 CP , le prononcé d'une mesure suppose que l'atteinte aux droits de la personnalité qui en résulte pour l'auteur ne soit pas disproportionnée au regard de la vraisemblance qu'il commette de nouvelles infractions et de leur gravité. Lorsque l'auteur souffre d'un grave trouble mental, le juge peut ordonner un traitement institutionnel aux conditions suivantes : l'auteur a commis un crime ou un délit en relation avec ce trouble et il est à prévoir que cette mesure le détournera de nouvelles infractions en relation avec ce trouble ( art. 59 al. 1 let. a et b CP ).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w:t>
      </w:r>
    </w:p>
    <w:p>
      <w:r>
        <w:rPr>
          <w:b/>
        </w:rPr>
        <w:t>E. 3.2</w:t>
      </w:r>
    </w:p>
    <w:p>
      <w:r>
        <w:t>En l'espèce, il n'est pas contesté que la détention avant jugement subie (9 mois selon le recourant au jour de son recours au Tribunal fédéral) excède la durée de la peine privative de liberté prononcée en première instance (4 mois). Cela étant, une mesure institutionnelle au sens de l' art. 59 CP a également été ordonnée à l'encontre du recourant en première instance et confirmée en appel, mesure, dont la durée maximale - prolongeable au demeurant - est de cinq ans ( art. 59 al. 4 CP ). Ces prononcés - qui ne sont pas définitifs et exécutoires - constituent un indice important quant à la peine/mesure susceptible de devoir être finalement exécutée ( ATF 139 IV 270 consid. 3.1 p. 275 et les arrêts cités), objectif qui peut être garanti par un maintien en détention pour des motifs de sûreté si les conditions y relatives sont réunies (cf. art. 231 al. 1 let. a et 221 al. 1 CPP). La situation du recourant ne saurait ainsi être comparée à celle d'une personne condamnée par un jugement définitif et exécutoire à une mesure institutionnelle et pourtant encore détenue dans un établissement pénitentiaire ordinaire, faute de place dans une institution adaptée ( ATF 142 IV 105 consid. 5.8.1 p. 115 ss; arrêts 1B_243/2018 du 5 juin 2018 consid. 2; 6B_842/2016 du 10 mai 2017 consid. 3.1). Peu importe dès lors que l'expert ait pu estimer, lors de son audition par le Ministère public, que le traitement en milieu fermé durerait entre un et six mois (cf. p. 7 du procès-verbal et ad B/d.b p. 8 de l'arrêt attaqué). En effet, cette appréciation ne paraît pas avoir été confirmée dans la suite de la procédure; au contraire, l'expert a relevé devant le tribunal de première instance que l'état du recourant s'était dégradé (cf. p. 7 du procès-verbal y relatif et ad B/d.c p. 9 du jugement entrepris), ce qui peut légitimement laisser à croire que la durée d'un traitement pourrait être supérieure à celle envisagée dans un premier temps par l'expert; cela vaut d'ailleurs d'autant plus que cette constatation quant à la durée - effectuée au regard des circonstances qui prévalaient à un moment donné - ne saurait lier définitivement ses confrères, seuls à même, en cas de traitement, d'apprécier l'évolution de leur patient. Le recourant soutient encore que la gravité des infractions qui lui sont reprochées (dommages à la propriété), respectivement le danger qu'il réitère de tels actes, ne suffirait pas pour qu'une mesure soit prononcée à son encontre (cf. art. 56 al. 2 CP ). Il n'appartient cependant pas au juge de la détention d'apprécier le bien-fondé du jugement au fond sur ce point. Seul est déterminant, dans le cadre du contrôle de la détention, le fait qu'une mesure thérapeutique entrainant une privation de liberté (cf. art. 59 al. 3 CP ) - certes contestée - ait été prononcée en première instance, puis confirmée en deuxième instance (arrêt 1B_129/2018 du 3 avril 2018 consid. 4.2). Cela vaut d'autant plus si le prononcé de la mesure ordonnée n'apparaît pas d'emblée exclu. En effet, le recourant ne conteste pas le lien existant entre ses graves troubles psychiques et les infractions commises (cf. art. 56 al. 1 let. a CP ); de plus, l'expert psychiatre ne considère pas que l'opposition du recourant à un traitement serait un obstacle à toute amélioration, un tel suivi pouvant, le cas échéant, diminuer le danger de réitération d'infractions du même genre, voire à l'encontre de personnes physiques (cf. art. 56 al. 1 let. b CP ; voir p. 14 s. du rapport d'expertise, p. 7 du procès-verbal de l'audience du Ministère public et p. 6 de celui du tribunal de première instance). On ne saurait enfin reprocher aux autorités pénales ou pénitentiaires les modalités d'exécution de la détention provisoire, puis pour motifs de sûreté, puisque l'absence de suivi médical découle du refus en l'état du recourant de s'y soumettre. Au regard des considérations précédentes, la cour cantonale n'a pas violé le droit fédéral en retenant que le principe de proportionnalité n'était pas violé, que ce soit par rapport à la durée de la détention avant jugement (cf. celle de la mesure thérapeutique institutionnelle envisagée), par rapport aux raisons justifiant le maintien en détention avant jugement (soit garantir l'exécution de la mesure qui pourrait être ordonnée) ou par rapport aux modalités de son exécution (vu le défaut en l'état de tout suivi médical).</w:t>
      </w:r>
    </w:p>
    <w:p>
      <w:r>
        <w:rPr>
          <w:b/>
        </w:rPr>
        <w:t>E. 3.3</w:t>
      </w:r>
    </w:p>
    <w:p>
      <w:r>
        <w:t>Le recourant ne soutient pas, à juste titre, qu'il existerait des mesures de substitution propres à pallier les risques de fuite et de récidive retenus à son encontre ( art. 237 CPP ).</w:t>
      </w:r>
    </w:p>
    <w:p>
      <w:r>
        <w:rPr>
          <w:b/>
        </w:rPr>
        <w:t>E. 3.4</w:t>
      </w:r>
    </w:p>
    <w:p>
      <w:r>
        <w:t>Au regard de l'ensemble de ces considérations, la Chambre pénale d'appel et de révision pouvait, sans violer le droit fédéral, confirmer le maintien en détention pour des motifs de sûreté du recourant.</w:t>
      </w:r>
    </w:p>
    <w:p>
      <w:r>
        <w:rPr>
          <w:b/>
        </w:rPr>
        <w:t>E. 4</w:t>
      </w:r>
    </w:p>
    <w:p>
      <w:r>
        <w:t>Vu l'issue du litige, le recourant ne saurait donc prétendre à l'obtention d'une indemnité pour détention illicite et les conclusions y relatives - dans la mesure où il appartiendrait au juge de la détention se prononcer sur cette question ( ATF 142 IV 245 consid. 4.1 p. 248) - peuvent également être rejetées.</w:t>
      </w:r>
    </w:p>
    <w:p>
      <w:r>
        <w:rPr>
          <w:b/>
        </w:rPr>
        <w:t>E. 5</w:t>
      </w:r>
    </w:p>
    <w:p>
      <w:r>
        <w:t>Il s'ensuit que le recours est rejeté. Le recourant a demandé l'octroi de l'assistance judiciaire. Au regard de la durée de la détention avant jugement subie, son recours n'était pas d'emblée dénué de chances de succès et cette requête doit être admise ( art. 64 al. 1 LTF ). Il y a lieu de désigner Me William Rappard en tant qu'avocat d'office et de lui allouer une indemnité à titre d'honoraires, qui seront supportés par la caisse du tribunal. Il n'est pas perçu de frais judiciaires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