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273/2020 vom 3. Juni 2020</w:t>
      </w:r>
    </w:p>
    <w:p>
      <w:r>
        <w:t>Bundesgericht, 2020-06-03, DE</w:t>
      </w:r>
    </w:p>
    <w:p>
      <w:r>
        <w:rPr>
          <w:b/>
        </w:rPr>
        <w:t xml:space="preserve">Quelle: </w:t>
      </w:r>
      <w:r>
        <w:t>https://mcp.opencaselaw.ch/entscheid/bger_1B_273_2020</w:t>
      </w:r>
    </w:p>
    <w:p>
      <w:r>
        <w:t>FR: TF 1B 273/2020 du 3 juin 2020</w:t>
      </w:r>
    </w:p>
    <w:p>
      <w:r>
        <w:t>IT: TF 1B 273/2020 del 3 giugno 2020</w:t>
      </w:r>
    </w:p>
    <w:p>
      <w:pPr>
        <w:pStyle w:val="Heading2"/>
      </w:pPr>
      <w:r>
        <w:t>Regeste</w:t>
      </w:r>
    </w:p>
    <w:p>
      <w:r>
        <w:t>Sicherheitshaft | Strafprozess</w:t>
      </w:r>
    </w:p>
    <w:p>
      <w:pPr>
        <w:pStyle w:val="Heading2"/>
      </w:pPr>
      <w:r>
        <w:t>Erwägungen</w:t>
      </w:r>
    </w:p>
    <w:p>
      <w:r>
        <w:rPr>
          <w:b/>
        </w:rPr>
        <w:t>E. 1</w:t>
      </w:r>
    </w:p>
    <w:p>
      <w:r>
        <w:t>Das Regionalgericht Berner Jura-Seeland stellte mit Urteil vom 1. November 2018 fest, dass A.________ verschiedene Tatbestände (versuchte schwere Körperverletzung, Drohung, Beschimpfung etc.) erfüllt habe, dabei aber schuldunfähig im Sinn von Art. 19 Abs. 1 StGB gewesen sei. Es ordnete eine stationäre therapeutische Massnahme im Sinn von Art. 59 StGB an. Auf Berufung von A.________ hin ordnete das Obergericht des Kantons Bern am 15. November 2019 wiederum eine stationäre therapeutische Massnahme gemäss Art. 59 StGB an und versetzte A.________ in Dispositiv-Ziffer. VII. 1 in Sicherheitshaft. Mit Beschwerde in Strafsachen vom 28. Mai 2020 ficht A.________ dieses Berufungsurteil einerseits in der Sache an und beantragt anderseits, die gegen ihn angeordnete Sicherheitshaft aufzuheben. Zudem ersucht er um unentgeltliche Rechtspflege und Verbeiständung.</w:t>
      </w:r>
    </w:p>
    <w:p>
      <w:r>
        <w:rPr>
          <w:b/>
        </w:rPr>
        <w:t>E. 2</w:t>
      </w:r>
    </w:p>
    <w:p>
      <w:r>
        <w:t>Soweit sich die Beschwerde gegen das Urteil in der Sache richtet, wird sie im Verfahren 6B_648/2020 behandelt.</w:t>
      </w:r>
    </w:p>
    <w:p>
      <w:r>
        <w:rPr>
          <w:b/>
        </w:rPr>
        <w:t>E. 3</w:t>
      </w:r>
    </w:p>
    <w:p>
      <w:r>
        <w:t>Gegenstand des vorliegenden Verfahrens ist somit einzig der Antrag des Beschwerdeführers, die Sicherheitshaft aufzuheben bzw. ihn daraus zu entlassen. Vernehmlassungen dazu wurden nicht eingeholt. Angefochten ist damit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Antrag auf Haftentlassung wird in der Beschwerdeschrift nicht begründet - auch nicht soweit der Beschwerdeführer die sog. Star-Praxis des Bundesgerichts anruft -, weshalb auf die Beschwerde wegen Verletzung der gesetzlichen Begründungspflicht nicht einzutreten ist, und zwar, weil der Mangel offensichtlich ist, im vereinfachten Verfahren. Das Gesuch um unentgeltliche Rechtspflege und Verbeiständung ist abzuweisen, da die Beschwerde aussichtslos war ( Art. 64 Abs. 1 BGG ). Auf die Erhebung von Gerichtskosten kann allerdings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