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1B_273/2019 vom 3. Dezember 2019</w:t>
      </w:r>
    </w:p>
    <w:p>
      <w:r>
        <w:t>Bundesgericht, 2019-12-03, FR</w:t>
      </w:r>
    </w:p>
    <w:p>
      <w:r>
        <w:rPr>
          <w:b/>
        </w:rPr>
        <w:t xml:space="preserve">Quelle: </w:t>
      </w:r>
      <w:r>
        <w:t>https://mcp.opencaselaw.ch/entscheid/bger_1B_273_2019</w:t>
      </w:r>
    </w:p>
    <w:p>
      <w:r>
        <w:t>FR: TF 1B_273/2019 du 3 décembre 2019</w:t>
      </w:r>
    </w:p>
    <w:p>
      <w:r>
        <w:t>IT: TF 1B_273/2019 del 3 dicembre 2019</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L'arrêt attaqué relatif à une observation secrète (cf. consid. 2 de l'arrêt attaqué) et à une mesure technique de surveillance (cf. consid. 3 du jugement entrepris) a été rendu au cours d'une procédure pénale par une autorité statuant en tant que dernière instance cantonale ( art. 80 LTF ). Il est donc susceptible d'un recours en matière pénale au sens des art. 78 ss LTF . Le recours a été déposé en temps utile ( art. 100 al. 1 LTF ) et les conclusions qui y sont prises sont recevables ( art. 107 al. 2 LTF ). Le recourant, prévenu concerné par les mesures contestées, a un intérêt juridiquement protégé à obtenir l'annulation ou la modification de la décision entreprise qui les confirme (art. 81 al. 1 let. a et b ch. 1 LTF).</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 p. 130).</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rPr>
          <w:b/>
        </w:rPr>
        <w:t>E. 1.2.2</w:t>
      </w:r>
    </w:p>
    <w:p>
      <w:r>
        <w:t>S'agissant tout d'abord de l'observation secrète au sens des art. 282 s. CPP, la loi ne prévoit aucune disposition spécifique sur les suites à donner en cas d'observation illicite, les dispositions générales étant donc applicables (cf. en particulier l' art. 141 al. 2 CPP ). Partant, le maintien au dossier de moyens de preuve recueillis au cours d'une observation éventuellement illicite n'entraîne en principe pas un préjudice irréparable. Faute d'explication de la part du recourant sur cette question, cette mesure n'apparaît pas non plus, dans les circonstances d'espèce, d'emblée illicite (cf. les conditions posées à l' art. 282 CPP ; arrêt 1B_450/2017 du 29 mars 2018 consid. 1.2.3). Le recours est donc, sous cet angle, irrecevable.</w:t>
      </w:r>
    </w:p>
    <w:p>
      <w:r>
        <w:t>Indépendamment des conditions posées par cette disposition, le recourant est aussi habilité à se plaindre d'une violation de ses droits de partie équivalant à un déni de justice formel, sans toutefois pouvoir faire valoir par ce biais, même indirectement, des moyens qui ne peuvent être séparés du fond ( ATF 141 IV 1 consid. 1.1 p. 5). Le Tribunal fédéral n'examine cependant la violation de droits fondamentaux que si ce moyen est invoqué et motivé par le recourant ( art. 106 al. 2 LTF ), c'est-à-dire s'il a été expressément soulevé et exposé de manière claire et détaillée ( ATF 143 IV 500 consid. 1.1 p. 503). Tel n'est manifestement pas le cas en l'occurrence puisque le recourant, qui se prévaut certes d'une violation de son droit d'être entendu, ne développe aucune argumentation circonstanciée tendant à démontrer notamment que la motivation retenue par la cour cantonale serait insuffisante et/ou que cette dernière ne se serait pas prononcée sur l'un ou l'autre des griefs soulevés devant elle. Les exigences accrues en matière de motivation sont d'autant plus violées que le recourant reprend quasiment mot à mot les éléments soulevés dans son recours cantonal, manière de procéder qui ne permet pas de comprendre en quoi l'arrêt attaqué viole le droit (cf. art. 42 al. 2 LTF ; ATF 142 III 364 consid. 2.4 p. 367 s.; 134 II 244 consid. 2.1 et 2.3 p. 245 ss; arrêt 1B_296/2019 du 11 juillet 2019 consid. 1.2).</w:t>
      </w:r>
    </w:p>
    <w:p>
      <w:r>
        <w:t>Partant, le recours contre l'observation secrète est irrecevable.</w:t>
      </w:r>
    </w:p>
    <w:p>
      <w:r>
        <w:rPr>
          <w:b/>
        </w:rPr>
        <w:t>E. 1.2.3</w:t>
      </w:r>
    </w:p>
    <w:p>
      <w:r>
        <w:t>En ce qui concerne ensuite la mesure technique de surveillance (art. 280 s. CPP), l' art. 281 al. 4 CPP renvoie aux art. 269 à 279 CPP. Dès lors qu'une procédure formelle d'autorisation de la pose de la balise de localisation a abouti à une ordonnance du Tmc ( art. 272 al. 1 et 274 CPP ) et que celle-ci a été valablement communiquée à l'intéressé ( art. 279 al. 1 CPP ), cette décision - qui infirme ou confirme la réalisation des conditions matérielles (dont celle posée à l' art. 269 al. 2 CPP applicable par renvoi de l' art. 281 al. 4 CPP ; ATF 144 IV 370 consid. 2.4 p. 376) - est un prononcé incident susceptible de causer un préjudice irréparable ( art. 277 CPP applicable par renvoi de l' art. 281 al. 4 CPP ; ATF 145 IV 42 consid. 3 p. 46). Partant, le recours - au fond - sur cette problématique est recevable.</w:t>
      </w:r>
    </w:p>
    <w:p>
      <w:r>
        <w:rPr>
          <w:b/>
        </w:rPr>
        <w:t>E. 2</w:t>
      </w:r>
    </w:p>
    <w:p>
      <w:r>
        <w:t>En ce qui concerne la mesure technique de localisation, le recourant se plaint principalement de violations de son droit d'être entendu.</w:t>
      </w:r>
    </w:p>
    <w:p>
      <w:r>
        <w:rPr>
          <w:b/>
        </w:rPr>
        <w:t>E. 2.1</w:t>
      </w:r>
    </w:p>
    <w:p>
      <w:r>
        <w:t>Le droit d'être entendu garanti à l' art. 29 al. 2 Cst. (cf. art. 3 al. 2 let . c, 101 et 107 CPP)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139 IV 179 consid. 2.2 p. 183).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 arrêt 6B_524/2019 du 24 octobre 2019 consid. 2.1).</w:t>
      </w:r>
    </w:p>
    <w:p>
      <w:r>
        <w:t>Le droit d'être entendu comprend en outre le droit pour l'intéressé de prendre connaissance du dossier et de participer à l'administration des preuves essentielles (cf. art. 147 CPP ) ou, à tout le moins, de s'exprimer sur son résultat lorsque cela est de nature à influer sur la décision à rendre ( ATF 145 I 73 consid. 7.2.2.1 p. 103).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 ATF 129 I 85 consid. 4.1 p. 88 s.); cette seconde disposition esten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 arrêts 6B_403/2018 du 14 janvier 2019 consid. 2.3.1 publié in Pra 2019 71 713; 6B_376/2018 du 25 septembre 2018 consid. 5.1).</w:t>
      </w:r>
    </w:p>
    <w:p>
      <w:r>
        <w:rPr>
          <w:b/>
        </w:rPr>
        <w:t>E. 2.2</w:t>
      </w:r>
    </w:p>
    <w:p>
      <w:r>
        <w:t>Le recourant reproche tout d'abord à l'autorité précédente d'avoir retenu l'existence de soupçons suffisants de la commission d'une infraction figurant dans le catalogue de l' art. 269 al. 2 CPP ; tel ne serait pas le cas et la mesure technique de surveillance serait donc illicite.</w:t>
      </w:r>
    </w:p>
    <w:p>
      <w:r>
        <w:rPr>
          <w:b/>
        </w:rPr>
        <w:t>E. 2.2.1</w:t>
      </w:r>
    </w:p>
    <w:p>
      <w:r>
        <w:t>L'installation d'une balise de localisation (GPS) constitue la principale technique de surveillance tombant sous le coup de l' art. 280 let . c CPP ( ATF 144 IV 370 consid. 2.1 p. 372). L'utilisation des tels dispositifs techniques de surveillance est soumise, par renvoi de l' art. 281 al. 4 CPP , à la condition de l'existence de graves soupçons portant sur l'une des infractions prévues à l' art. 269 al. 2 CPP ( art. 269 al. 1 let. a CPP ; ATF 144 IV 370 consid. 2.4 p. 376). Figurent notamment dans le catalogue de cette disposition les infractions aux art. 19 al. 2 et 20 al. 2 LStup ( art. 269 al. 2 let . f CPP).</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142 IV 289 consid. 2.2 p. 293; 141 IV 459 consid. 4.1 p. 461).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p. 293 s.).</w:t>
      </w:r>
    </w:p>
    <w:p>
      <w:r>
        <w:rPr>
          <w:b/>
        </w:rPr>
        <w:t>E. 2.2.2</w:t>
      </w:r>
    </w:p>
    <w:p>
      <w:r>
        <w:t>Afin d'écarter la violation du droit d'être entendu soulevée devant elle, la cour cantonale a relevé que l'ordonnance du Tmc mentionnait textuellement que de "graves soupçons laissa[ien]t présumer que l'une des infractions visées à l' art. 269 al. 2 CPP a[vait] été commise"; cette mention était suffisante, même si l' art. 19 al. 2 let . c LStup n'était pas expressément cité, puisque l'application de l' art. 19 al. 2 let. a LStup n'entrait pas en considération vu le trafic de cannabis en cause et que la circonstance de la bande au sens de l' art. 19 al. 2 let. b LStup n'avait jamais été envisagée. L'autorité précédente a ensuite relevé que la communication donnée par le Ministère public indiquait que, selon le rapport de police, la balise - dont la pose avait été ordonnée le 31 mai 2018 par le Ministère public et autorisée le 4 juin 2018 par le Tmc - avait été fixée sur le véhicule concerné le 17 juin 2018 par la police, mesure ensuite levée le 30 août 2018. Les Juges cantonaux ont enfin estimé que, dans cette communication, le Ministère public avait précisé que la surveillance technique se fondait sur l'existence de graves soupçons découlant notamment des déclarations de trois personnes, des quantités de produits cannabiques évoquées et des chiffres d'affaires, ainsi que des bénéfices y relatifs réalisés; les faits reprochés étaient manifestement constitutifs d'une infraction qualifiée à la loi sur les stupéfiants, à tout le moins à titre de commission par métier ( art. 19 al. 2 let . c LStup).</w:t>
      </w:r>
    </w:p>
    <w:p>
      <w:r>
        <w:rPr>
          <w:b/>
        </w:rPr>
        <w:t>E. 2.2.3</w:t>
      </w:r>
    </w:p>
    <w:p>
      <w:r>
        <w:t>Ce raisonnement ne prête pas le flanc à la critique.</w:t>
      </w:r>
    </w:p>
    <w:p>
      <w:r>
        <w:t>Le recourant omet en effet de prendre en considération que la requête du 31 mai 2018 - si elle ne faisait certes pas référence expressément à l' art. 19 al. 2 let . c LStup - renvoyait, à titre de complément de motivation, à différentes annexes, à savoir son casier judiciaire où figuraient notamment ses antécédents en matière de stupéfiants, les procès-verbaux d'audition de trois personnes l'ayant mis en cause et le rapport d'investigation du 30 mai 2018 de la police. Dans ses considérants, le Tmc s'est d'ailleurs également référé aux "éléments ressortant du dossier" afin de motiver l'existence de graves soupçons de la commission d'une infraction visée par l' art. 269 al. 2 CPP , soit l'éventuelle participation du prévenu à un trafic de stupéfiants. Le recourant ne développe aucune argumentation afin de démontrer que ces différentes pièces ne permettaient pas d'envisager la circonstance aggravante du métier au sens de l' art. 19 al. 2 let . c LStup au moment où le Tmc a statué. Cela vaut d'autant plus au vu du possible chiffre d'affaires réalisé eu égard aux indications mentionnées dans l'un des procès-verbaux d'audition (cf. PV 2 du 2 février 2018, l. 55 et l. 69 ss) et rappelées par le Ministère public dans ses déterminations du 4 juillet 2019, à savoir la prétendue vente par le recourant d'environ 100 kilogrammes par mois et le prix de vente de 5'000 fr. le kilo. Quant à la communication du 9 avril 2019, elle n'apportait aucun élément supplémentaire, puisqu'elle permettait tout au plus au recourant de cibler plus rapidement quelles pouvaient être les déclarations déterminantes dans les trois procès-verbaux susmentionnés pour apprécier l'infraction en cause (quantité de produits cannabiques évoquée et chiffres d'affaires - respectivement bénéfices - réalisés). On ne saurait ainsi reprocher à l'autorité précédente d'avoir confirmé la réalisation de la condition posée à l' art 269 al. 2 CPP .</w:t>
      </w:r>
    </w:p>
    <w:p>
      <w:r>
        <w:rPr>
          <w:b/>
        </w:rPr>
        <w:t>E. 2.3</w:t>
      </w:r>
    </w:p>
    <w:p>
      <w:r>
        <w:t>Le recourant soutient encore que la communication du 9 avril 2019 (indication sur la durée de la mesure insuffisante) et le rapport de police du 28 mars 2019 (défaut de production des données enregistrées mentionnées) seraient incomplets, ce qui constituerait une violation de l' art. 279 al. 1 CPP . Ces griefs n'ont pas été soulevés devant l'autorité précédente; il ne peut donc pas lui être reproché, sous l'angle du droit d'être entendu, de ne pas s'être prononcée sur ces questions particulières. Le recourant ne le soutient d'ailleurs pas.</w:t>
      </w:r>
    </w:p>
    <w:p>
      <w:r>
        <w:t>En tout état de cause, on peine à comprendre quel complément relatif à la durée de la mesure de surveillance le recourant entend obtenir; il connaît en effet la date de la pose de l'installation - le 17 juin 2018 - ainsi que celle de son retrait, le 30 août 2018, ce qui permet de calculer la durée de la mesure (cf. art. 279 al. 1 CPP ).</w:t>
      </w:r>
    </w:p>
    <w:p>
      <w:r>
        <w:t>Quant à l'absence de transmission des données enregistrées au cours de la surveillance par une balise GPS, aucun élément dans l'arrêt attaqué ne permet de considérer que le Ministère public aurait renoncé à procéder au versement de ces éléments au dossier pénal auquel le recourant, en tant que prévenu, a en principe un large droit d'accès (cf. art. 101 CPP ; THOMAS HANSJAKOB, Überwachungsrecht der Schweiz, Kommentar zu Art. 269 ff. StPO und zum BÜPF, 2018, nos 1244 s. p. 347 et n° 1290 p. 357, qui mentionne cependant les limites en matière de découvertes fortuites, cf. sur cette problématique l' ATF 140 IV 40 ; SCHMID/JOSITSCH, Schweizerische Strafprozessordnung, Praxiskommentar, 3e éd. 2018, n° 8 ad art. 279 CP ; JEANNERET/KUHN, Précis de procédure pénale, 2e éd. 2018, n° 14099 p. 407; THOMAS HANSJAKO b, in Donatsch/Hansjakob/Lieber (édit.), Kommentar zur Schweizerischen Strafprozessordunung [StPO], 2e éd. 2014 [ci-après : Kommentar StPO], n° 13 ad art. 279 CPP ; BACHER/ZUFFEREY in Commentaire romand, Code de procédure pénale suisse, 2011, n° 10 ad art. 279 CPP ); le recourant ne prétend d'ailleurs pas avoir formé une telle demande et/ou que celle-ci aurait été rejetée. De plus, dans le cadre particulier d'une mesure technique de surveillance, le recourant dispose également d'un droit à obtenir, le cas échéant, accès aux éléments qui auraient été écartés par le Ministère public faute de pertinence (cf. art. 276 CPP applicable par renvoi de l' art. 281 al. 4 CPP ; arrêt 6B_403/2018 du 14 janvier 2019 consid. 2), appréciation qu'il pourra ensuite contester devant le juge du fond (HANSJAKOB, Kommentar StPO, op. cit., n° 31 ad art. 279 CPP ). C'est également devant cette autorité qu'il pourra remettre en cause la valeur probante des données découlant de la surveillance éventuellement retenues à sa charge ( ATF 140 IV 40 consid. 1.1 p. 42 s.; arrêt 1B_487/2019 du 11 novembre 2019 consid. 1). Le recourant ne soutient enfin pas n'avoir pas disposé, dans le cas d'espèce, des éléments suffisants - soit en particulier ceux ayant permis d'aboutir à l'ordonnance du Tmc (sur cette question voir ATF 142 IV 289 consid. 2.2.2 p. 294 s.) - pour lui permettre de contester la légalité de la mesure ordonnée à son encontre, notamment sous l'angle de la réalisation des conditions la permettant, du respect du principe de la proportionnalité et/ou de l'existence de soupçons suffisants de la commission d'une infraction figurant dans le catalogue de l' art. 269 al. 2 CPP ( ATF 140 IV 40 consid. 1.1 p. 42; arrêt 1B_487/2019 du 11 novembre 2019; MARC JEAN-RICHARD-DIT-BRESSEL, in Basler Kommentar, Schweizerische Strafprozessordnung, Art. 196-457 StPO, 2e éd. 2014, no 13 ad art. 279 CPP ; HANSJAKOB, Kommentar StPO, op. cit., n° 29 ad art. 279 CPP ).</w:t>
      </w:r>
    </w:p>
    <w:p>
      <w:r>
        <w:t>Partant, ces griefs peuvent être écartés.</w:t>
      </w:r>
    </w:p>
    <w:p>
      <w:r>
        <w:rPr>
          <w:b/>
        </w:rPr>
        <w:t>E. 3</w:t>
      </w:r>
    </w:p>
    <w:p>
      <w:r>
        <w:t>Il s'ensuit que le recours est rejeté dans la mesure où il est recevable.</w:t>
      </w:r>
    </w:p>
    <w:p>
      <w:r>
        <w:t>Le recourant a demandé l'octroi de l'assistance judiciaire. Son recours n'était pas d'emblée dénué de chances de succès; son indigence paraît également établie dès lors qu'il était au bénéfice d'une rente de l'assurance-invalidité et qu'il est incarcéré depuis le 30 août 2018. Partant, cette requête doit être admise et il y a lieu de désigner Me Fabien Mingard en tant qu'avocat d'office pour la procédure fédérale et de lui allouer une indemnité à titre d'honoraires, qui sera supportée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