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273/2016 vom 22. Juli 2016</w:t>
      </w:r>
    </w:p>
    <w:p>
      <w:r>
        <w:t>Bundesgericht, 2016-07-22, DE</w:t>
      </w:r>
    </w:p>
    <w:p>
      <w:r>
        <w:rPr>
          <w:b/>
        </w:rPr>
        <w:t xml:space="preserve">Quelle: </w:t>
      </w:r>
      <w:r>
        <w:t>https://mcp.opencaselaw.ch/entscheid/bger_1B_273_2016</w:t>
      </w:r>
    </w:p>
    <w:p>
      <w:r>
        <w:t>FR: TF 1B 273/2016 du 22 juillet 2016</w:t>
      </w:r>
    </w:p>
    <w:p>
      <w:r>
        <w:t>IT: TF 1B 273/2016 del 22 luglio 2016</w:t>
      </w:r>
    </w:p>
    <w:p>
      <w:pPr>
        <w:pStyle w:val="Heading2"/>
      </w:pPr>
      <w:r>
        <w:t>Regeste</w:t>
      </w:r>
    </w:p>
    <w:p>
      <w:r>
        <w:t>Strafverfahren; amtliche Verteidigung | Strafprozess</w:t>
      </w:r>
    </w:p>
    <w:p>
      <w:pPr>
        <w:pStyle w:val="Heading2"/>
      </w:pPr>
      <w:r>
        <w:t>Erwägungen</w:t>
      </w:r>
    </w:p>
    <w:p>
      <w:r>
        <w:rPr>
          <w:b/>
        </w:rPr>
        <w:t>E. 1</w:t>
      </w:r>
    </w:p>
    <w:p>
      <w:r>
        <w:t>Im Rahmen einer gegen ihn laufenden Strafuntersuchung wegen einer SVG-Widerhandlung stellte A.________ das Gesuch um Gewährung der unentgeltlichen Rechtspflege bzw. amtlichen Verbeiständung. Mit Verfügung vom 29. März 2016 wies die Staatsanwaltschaft Innerschwyz das Gesuch ab. Hiergegen gelangte A.________ mit einer Beschwerde ans Kantonsgericht Schwyz. Dieses hat die Beschwerde mit Beschluss vom 10. Juni 2016 abgewiesen, soweit es darauf eingetreten ist.</w:t>
      </w:r>
    </w:p>
    <w:p>
      <w:r>
        <w:rPr>
          <w:b/>
        </w:rPr>
        <w:t>E. 2</w:t>
      </w:r>
    </w:p>
    <w:p>
      <w:r>
        <w:t>A.________ führt mit Eingabe vom 19. Juli (Postaufgabe: 20. Juli) 2016 Beschwerde gegen den am 10. Juni 2016 ergangenen Beschluss des Kantonsgerichts.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beanstandet den kantonsgerichtlichen Beschluss ganz allgemein und verlangt die Überprüfung des gesamten kantonalen Verfahrens. Dabei unterlässt er es jedoch, sich mit der ausführlichen Begründung, auf welcher der angefochtene Beschluss beruht, im Einzelnen auseinanderzusetzen. Namentlich zeigt er nicht auf, inwiefern diese Begründung bzw. der Beschluss selbst im Ergebnis rechts- bzw. verfassungswidrig sein soll. Daher ist bereits mangels einer genügenden Begründung im Sinne von Art. 42 Abs. 2 BGG auf die vorliegende Beschwerde nicht einzutreten. Entsprechend erübrigt es sich, auch noch die weiteren Eintretensvoraussetzungen zu erörtern. Der Begründungsmangel ist offensichtlich, weshalb über die vorliegende Beschwerde im vereinfachten Verfahren nach Art. 108 Abs. 1 lit. b BGG entschieden werden kann.</w:t>
      </w:r>
    </w:p>
    <w:p>
      <w:r>
        <w:rPr>
          <w:b/>
        </w:rPr>
        <w:t>E. 4</w:t>
      </w:r>
    </w:p>
    <w:p>
      <w:r>
        <w:t>Die Beschwerde erweist sich als offensichtlich aussichtslos, weshalb das vom Beschwerdeführer gestellte Gesuch um Gewährung der unentgeltlichen Rechtspflege bzw. amtlichen Verbeiständung abzuweisen ist. Bei den gegebenen Verhältnissen kann indes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