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271/2017 vom 16. August 2017</w:t>
      </w:r>
    </w:p>
    <w:p>
      <w:r>
        <w:t>Bundesgericht, 2017-08-16, DE</w:t>
      </w:r>
    </w:p>
    <w:p>
      <w:r>
        <w:rPr>
          <w:b/>
        </w:rPr>
        <w:t xml:space="preserve">Quelle: </w:t>
      </w:r>
      <w:r>
        <w:t>https://mcp.opencaselaw.ch/entscheid/bger_1B_271_2017</w:t>
      </w:r>
    </w:p>
    <w:p>
      <w:r>
        <w:t>FR: TF 1B 271/2017 du 16 août 2017</w:t>
      </w:r>
    </w:p>
    <w:p>
      <w:r>
        <w:t>IT: TF 1B 271/2017 del 16 agosto 2017</w:t>
      </w:r>
    </w:p>
    <w:p>
      <w:pPr>
        <w:pStyle w:val="Heading2"/>
      </w:pPr>
      <w:r>
        <w:t>Regeste</w:t>
      </w:r>
    </w:p>
    <w:p>
      <w:r>
        <w:t>Verlängerung der Untersuchungshaft | Strafprozess</w:t>
      </w:r>
    </w:p>
    <w:p>
      <w:pPr>
        <w:pStyle w:val="Heading2"/>
      </w:pPr>
      <w:r>
        <w:t>Erwägungen</w:t>
      </w:r>
    </w:p>
    <w:p>
      <w:r>
        <w:rPr>
          <w:b/>
        </w:rPr>
        <w:t>E. 1</w:t>
      </w:r>
    </w:p>
    <w:p>
      <w:r>
        <w:t>Haftentscheide der Beschwerdekammer des Bundesstrafgerichts sind mit Beschwerde in Strafsachen (Zwangsmassnahmenbeschwerde) grundsätzlich anfechtbar (Art. 79 i.V.m. Art. 80 Abs. 1 BGG ). Beim Entscheid der Vorinstanz handelt es sich um einen selbstständig eröffneten Zwischenentscheid, der einen nicht wieder gutzumachenden Nachteil im Sinne von Art. 93 Abs. 1 lit. a BGG bewirken kann. Der Beschwerdeführer hat am vorinstanzlichen Verfahren teilgenommen. Der neue Haftverlängerungsentscheid vom 31. Juli 2017 lässt sein Rechtsschutzinteresse nicht dahinfallen, beruht dieser doch auf den gleichen tatsächlichen und rechtlichen Grundlagen wie der angefochtene Entscheid. Mit Blick auf das Beschleunigungsgebot ( Art. 5 Abs. 2 StPO , Art. 31 Abs. 4 BV , Art. 5 Ziff. 4 EMRK ) und aus Gründen der Prozessökonomie ist ein schutzwürdiges Interesse des Beschwerdeführers an der Beurteilung seines Rechtsmittels zu bejahen ( BGE 139 I 206 E. 1.2 S. 208 ff.; 137 IV 177 E. 2.2 S. 179f.; Urteil 1B_393/2012 vom 24. Juli 2012 E. 1). Er ist insoweit nach Art. 81 Abs. 1 BGG zur Beschwerde berechtigt. Das Bundesgericht kann nach Art. 107 Abs. 2 BGG bei Gutheissung der Beschwerde in der Sache selbst entscheiden. Der Antrag auf Haftentlassung ist daher zulässig. Die übrigen Sachurteilsvoraussetzungen sind ebenfalls erfüllt, weshalb auf die Beschwerde eingetreten werden kann. Der Beschwerdeführer führt in französischer Sprache Beschwerde, doch besteht kein Grund, von der Regeln von Art. 54 Abs. 1 BGG abzuweichen, wonach das Urteil des Bundesgerichts in der Sprache des angefochtenen Entscheids (hier: Deutsch) ergeht.</w:t>
      </w:r>
    </w:p>
    <w:p>
      <w:r>
        <w:rPr>
          <w:b/>
        </w:rPr>
        <w:t>E. 2</w:t>
      </w:r>
    </w:p>
    <w:p>
      <w:r>
        <w:t>Untersuchungshaft ist nur zulässig, wenn die beschuldigte Person eines Verbrechens oder Vergehens dringend verdächtig ist und zudem ein besonderer Haftgrund (Flucht-, Kollusions- oder Fortsetzungsgefahr) gegeben ist ( Art. 221 Abs. 1 StPO ; zur Präventivhaft vgl. Art. 221 Abs. 2 StPO ). Die Untersuchungshaft muss verhältnismässig sein (Art. 197 Abs. 1 Bst. c und d StPO) und darf nicht länger dauern als die zu erwartende Freiheitsstrafe ( Art. 212 Abs. 3 StPO ). Der Beschwerdeführer bringt vor, es bestehe kein dringender Tatverdacht. Die Kollusions- und Fluchtgefahr wird von ihm nicht bestritten. Die Vorinstanz hat das Vorliegen dieser beiden besonderen Haftgründe bejaht. Es besteht kein Anlass, von dieser Beurteilung abzuweichen.</w:t>
      </w:r>
    </w:p>
    <w:p>
      <w:r>
        <w:rPr>
          <w:b/>
        </w:rPr>
        <w:t>E. 3.1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137 IV 122 E. 3.2 S. 126; 116 Ia 143 E. 3c S. 146). Das Beschleunigungsgebot in Haftsachen ( Art. 31 Abs. 3-4 BV , Art. 5 Abs. 2 StPO ) lässt hier nur wenig Raum für Beweismassnahmen. Zur Frage des dringenden Tatverdachts bzw. zur Schuldfrage hat das Bundesgericht weder ein eigentliches Beweisverfahren durchzuführen, noch dem erkennenden Strafrichter vorzugreifen. Vorbehalten bleibt allenfalls die Abnahme eines liquiden Alibibeweises (vgl. BGE 137 IV 122 E. 3.2 S. 126 f. ; 124 I 208 E. 3 S. 210 mit Hinweisen).</w:t>
      </w:r>
    </w:p>
    <w:p>
      <w:r>
        <w:rPr>
          <w:b/>
        </w:rPr>
        <w:t>E. 3.2</w:t>
      </w:r>
    </w:p>
    <w:p>
      <w:r>
        <w:t>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137 IV 122 E. 3.1 und 3.3 S. 126 f. mit Hinweis; NIKLAUS OBERHOLZER, Grundzüge des Strafprozessrechts, 3. Aufl. 2012, Rz. 902).</w:t>
      </w:r>
    </w:p>
    <w:p>
      <w:r>
        <w:rPr>
          <w:b/>
        </w:rPr>
        <w:t>E. 3.3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w:t>
      </w:r>
    </w:p>
    <w:p>
      <w:r>
        <w:t>Der Beschwerdeführer bringt vor, es fehlten hinreichende Anhaltspunkte, die einen dringenden Tatverdacht eines Verbrechens gegen die Menschlichkeit nach Art. 264a StGB zu begründen vermöchten. Insbesondere bestehe kein Verdacht eines ausgedehnten oder systematischen Angriffs gegen die Zivilbevölkerung Gambias zwischen 2006 und September 2016.</w:t>
      </w:r>
    </w:p>
    <w:p>
      <w:r>
        <w:rPr>
          <w:b/>
        </w:rPr>
        <w:t>E. 4.1</w:t>
      </w:r>
    </w:p>
    <w:p>
      <w:r>
        <w:t>Das Römer Statut des Internationalen Strafgerichtshofs vom 17. Juli 1998 trat für die Schweiz am 1. Juli 2002 in Kraft (IStGH-Statut; SR 0.312.1). Der Gerichtshof ist zuständig für die Verfolgung und Beurteilung von "schwersten Verbrechen, welche die internationale Gemeinschaft als Ganzes berühren" (Präambel Abs. 4 und 9 IStGH-Statut), d.h. Völkermord, Verbrechen gegen die Menschlichkeit und Kriegsverbrechen (Art. 6-8 IStGH-Statut) sowie Verbrechen der Aggression (Art. 8bis IStGH-Statut; für die Schweiz in Kraft seit 10. September 2016; AS 2015 3825), wobei er gemäss dem Grundsatz der Komplementarität nur tätig wird, wenn die für die Strafverfolgung in erster Linie zuständigen innerstaatlichen Behörden eines Vertragsstaats nicht willens oder nicht in der Lage sind, eines der oben genannten Verbrechen, das auf ihrem Hoheitsgebiet oder von einem ihrer Staatsangehörigen begangen wird, ernsthaft zu verfolgen (Präambel Abs. 10, Art. 1 und Art. 17 IStGH-Statut; BBl 2008 3870; vgl., je mit weiteren Nachweisen, KAI AMBOS, Internationales Strafrecht, 4. Aufl. 2014, § 8 Rz. 10 ff.; SHARON A. WILLIAMS/WILLIAM A. SCHABAS, in: Triffterer/Ambos [Hrsg.], Commentary on the Rome Statute of the International Criminal Court, 3. Aufl. 2016, N. 1 ff. zu Artikel 17 IStGH-Statut; WALTER KÄLIN/JÖRG KÜNZLI, Universeller Menschenrechtsschutz, 3. Aufl. 2013, Rz. 592 ff.).</w:t>
      </w:r>
    </w:p>
    <w:p>
      <w:r>
        <w:rPr>
          <w:b/>
        </w:rPr>
        <w:t>E. 4.2</w:t>
      </w:r>
    </w:p>
    <w:p>
      <w:r>
        <w:t>Da die schweizerische Rechtsordnung keinen ausdrücklichen Tatbestand des Verbrechens gegen die Menschlichkeit kannte (BBl 2008 3920 f.; MICHEL DUPUIS/LAURENT MOREILLON et al. [Hrsg.], Code pénal, 2. Aufl. 2017, N. 1 zu Art. 264a StGB ), wurde in der Folge mit dem Bundesgesetz vom 18. Juni 2010 zur Umsetzung des Römer Statuts des Internationalen Strafgerichtshofs (AS 2010 4963; BBl 2008 3863 ff.; in Kraft seit 1. Januar 2011) der Besondere Teil des StGB um Art. 264a StGB (Verbrechen gegen die Menschlichkeit) ergänzt sowie um zwei neue Titel betreffend Kriegsverbrechen ( Art. 264b-264j StGB ) und gemeinsame Bestimmungen ( Art. 264k-264n StGB ) erweitert (zu sonstigen Änderungen vgl. HANS VEST, in: Vest et al. [Hrsg.], Die völkerstrafrechtlichen Bestimmungen des StGB - Kommentar, 2014, Systematische Einleitung, N. 5 [nachfolgend: Kommentar]). Durch die Schliessung materieller Strafrechtslücken wurde unter anderem das Risiko verringert, dass aufgrund ungenügender innerstaatlicher Gesetzesgrundlagen die Verfahrenshoheit an den IStGH übergeht, und dass eine Person, die im Ausland Völkermord, Verbrechen gegen die Menschlichkeit oder Kriegsverbrechen begangen hat, die Schweiz als Zufluchtsort missbraucht (BBl 2008 3879 und 3894; vgl. zum Ganzen VEST, Kommentar, N. 10 zu Art. 264a StGB ; LAURENT MOREILLON, La Suisse et les crimes contre l'humanité, in: Moreillon/Bichovsky/Massrouri [Hrsg.], Droit pénal humanitaire, 2. Aufl. 2009, S. 467 ff., 481 ff.).</w:t>
      </w:r>
    </w:p>
    <w:p>
      <w:r>
        <w:rPr>
          <w:b/>
        </w:rPr>
        <w:t>E. 4.3</w:t>
      </w:r>
    </w:p>
    <w:p>
      <w:r>
        <w:t>Der objektive Tatbestand der Verbrechen gegen die Menschlichkeit als Massenverbrechen, die gegen die Zivilbevölkerung begangen werden, setzt die Verwirklichung von (mindestens) einer der in Art. 264a Abs. 1 Bst. a bis j StGB beschriebenen Handlungen (Einzeltaten) voraus (ANDREAS DONATSCH/WOLFGANG WOHLERS, Strafrecht IV, 4. Aufl. 2011, S. 268; VEST, Kommentar, N. 16 zu Art. 264a StGB ). Im vorliegenden Fall wird dem Beschwerdeführer Folter vorgeworfen (Art. 264a Abs. 1 Bst. f StGB; dazu nachfolgend E. 4.6). Diese Einzeltaten werden zu Verbrechen gegen die Menschlichkeit, wenn sie im Rahmen eines ausgedehnten oder systematischen Angriffs gegen die Zivilbevölkerung (Gesamttaten) erfolgen (dazu im Einzelnen E. 4.5). Im Zusammenhang mit den Gesamttaten (Kontextelemente) erlangen die Einzeltaten eine "neue Unrechtsdimension" (GERHARD WERLE, Völkerstrafrecht, 3. Aufl. 2012, N. 860) und betreffen nicht allein die einzelnen Opfer, sondern durch das Infragestellen oder Negieren internationaler Standards der Menschlichkeit bzw. grundlegender Menschenrechte sowie durch die Bedrohung von Frieden und Sicherheit auch überindividuelle Interessen und kollektive Rechtsgüter und insoweit die Völkergemeinschaft als Ganzes (vgl. BVGE 2010/43 E. 5.3.3.2; AMBOS, a.a.O., § 7 N. 173; ROBERT KOLB, Droit international pénal, in: Kolb/Scalia [Hrsg.], Droit international pénal, 2. Aufl. 2012, S. 99 ff.; VEST, Kommentar, N. 15 zu Art. 264a StGB ; STEFAN WEHRENBERG/CAROLINE EHLERT, in: Basler Kommentar StGB II, 3. Aufl. 2013, N. 10 zu Art. 264a StGB ; GISELA MANSKE, Verbrechen gegen die Menschlichkeit als Verbrechen an der Menschheit, 2003, S. 332 ff.; je mit weiteren Nachweisen). Menschlichkeitsverbrechen erweisen sich insoweit sowohl als "Individualverbrechen mit kriminellem systemischem Hintergrund" als auch als "Systemdelikte mit kriminellem aktionalem Vordergrund" (ERNST-JOACHIM LAMPE, Verbrechen gegen die Menschlichkeit, in: FS Günter Kohlmann, 2003, S. 159 ff. und 168 ff., zit. nach VEST, Kommentar, N. 17 zu Art. 264a StGB ).</w:t>
      </w:r>
    </w:p>
    <w:p>
      <w:r>
        <w:rPr>
          <w:b/>
        </w:rPr>
        <w:t>E. 4.4</w:t>
      </w:r>
    </w:p>
    <w:p>
      <w:r>
        <w:t>In subjektiver Hinsicht muss die Gesamttat vom Vorsatz des Täters umfasst sein (vgl. auch Art. 30 IStGH-Statut; WERLE, a.a.O., N. 893). Der Täter muss in Kenntnis des Angriffs gegen die Zivilbevölkerung gehandelt haben, wobei es genügt, dass er sich zumindest bewusst war, ohne jedoch notwendigerweise Einzelheiten der Planung der Politik des Staates oder der Organisation zu kennen (AMBOS, a.a.O., N. 198), dass die Begehung seines Verbrechens Teil der grösseren Dimension eines Angriffs gegen die Zivilbevölkerung war; das Wissen kann auch aus den Tatumständen abgeleitet werden (BBl 2008 3922 mit Hinweis).</w:t>
      </w:r>
    </w:p>
    <w:p>
      <w:r>
        <w:rPr>
          <w:b/>
        </w:rPr>
        <w:t>E. 4.5.1</w:t>
      </w:r>
    </w:p>
    <w:p>
      <w:r>
        <w:t>Zu den allgemeinen Tatbestandselementen von Art. 264a Abs. 1 StGB (sog. Chapeauelemente oder chapeau ) gilt es Folgendes zu präzisieren:</w:t>
      </w:r>
    </w:p>
    <w:p>
      <w:r>
        <w:rPr>
          <w:b/>
        </w:rPr>
        <w:t>E. 4.5.2</w:t>
      </w:r>
    </w:p>
    <w:p>
      <w:r>
        <w:t>Unter einem Angriff ist die Begehung (oder das absichtliche Nichtverhindern der Begehung; so ausdrücklich BBl 2008 3921 f.) der in Art. 264a Abs. 1 Bst. a-j StGB genannten Handlungen gegen die Zivilbevölkerung zu verstehen. Dabei ist unbeachtlich, ob er in Friedens- oder Kriegszeiten bzw. inner- oder ausserhalb eines bewaffneten Konflikts erfolgt. Dem Angriff liegt regelmässig ein planmässiges Vorgehen bzw. die Politik eines Staates oder einer Organisation zu Grunde, welche die Begehung der einzelnen Tat erleichtert und die Gegenwehr erschwert (BBl 2008 3921; vgl. auch Art. 7 Abs. 2 Bst. a IStGH-Statut; DUPUIS/MOREILLON ET AL., A.A.O., N. 7 ZU ART. 264A STGB ; DONATSCH/WOHLERS, a.a.O., S. 268 [mit Hinweisen zur Rechtsprechung der Ad-hoc -Tribunale für das ehemalige Jugoslawien, ICTY, und Ruanda, ICTR]; WEHRENBERG/EHLERT, a.a.O., N. 22 ff. zu Art. 264a StGB ; vgl. VEST, Kommentar, N. 32 ff. zu Art. 264a StGB ; je mit weiteren Nachweisen). Beim Angriff gegen die Zivilbevölkerung (insbesondere der eigenen; AMBOS, a.a.O., § 7 N. 189 ff.) handelt es sich nicht um einen militärischen Angriff im Sinne des Kriegsvölkerrechts (VEST, Kommentar, N. 35 und 65 zu Art. 264a StGB mit weiteren Nachweisen); er setzt nicht zwingend Gewaltanwendung voraus (BBl 2008 3921; DONATSCH/WOHLERS, a.a.O., S. 269 mit weiteren Nachweisen).</w:t>
      </w:r>
    </w:p>
    <w:p>
      <w:r>
        <w:rPr>
          <w:b/>
        </w:rPr>
        <w:t>E. 4.5.3</w:t>
      </w:r>
    </w:p>
    <w:p>
      <w:r>
        <w:t>Die Einzelhandlung muss im Rahmen des ausgedehnten oder systematischen Angriffs gegen die Zivilbevölkerung erfolgen. Sie muss den Angriff gegen die Zivilbevölkerung fördern und insoweit in einem Zusammenhang (sog. Nexus) zur Gesamttat stehen (BBl 2008 3922; VEST, Kommentar, N. 23 zu Art. 264a StGB ; WEHRENBERG/EHLERT, a.a.O., N. 33 zu Art. 264a StGB ). Bei isolierten Akten ohne Bezug zur Gesamttat liegt kein Verbrechen gegen die Menschlichkeit vor (BBl 2008 3922; VEST, Kommentar, N. 59 ff. zu Art. 264a StGB ). Hingegen wird nicht vorausgesetzt, dass die Einzeltat selbst ausgedehnt oder systematisch ist; unter Umständen kann daher auch eine Einzeltat, sofern sie sich in die Gesamttat einfügt, den Tatbestand von Art. 264a Abs. 1 StGB erfüllen (statt vieler KOLB, a.a.O., S. 99; AMBOS, a.a.O., N. 184). Insoweit ist eine mehrfache Tatbegehung gegenüber einer Opfermehrheit nicht vorausgesetzt (BBl 2008 3922).</w:t>
      </w:r>
    </w:p>
    <w:p>
      <w:r>
        <w:rPr>
          <w:b/>
        </w:rPr>
        <w:t>E. 4.5.4</w:t>
      </w:r>
    </w:p>
    <w:p>
      <w:r>
        <w:t>Der Angriff muss ausgedehnt oder systematisch sein. Dieser ist alternativ durch seinen Umfang (eine Vielzahl von Opfern; quantitatives Element) oder durch seinen Organisationsgrad gekennzeichnet (qualitatives Element), wobei sich diese Elemente überschneiden können (BBl 2008 3922; zum Ganzen AMBOS, a.a.O., N. 184 ff.; VEST, Kommentar, N. 60 ff. zu Art. 264a StGB ; WEHRENBERG/EHLERT, a.a.O., N. 29 ff. zu Art. 264a StGB ; je mit zahlreichen Nachweisen zur Rechtsprechung des ICTY).</w:t>
      </w:r>
    </w:p>
    <w:p>
      <w:r>
        <w:rPr>
          <w:b/>
        </w:rPr>
        <w:t>E. 4.5.5</w:t>
      </w:r>
    </w:p>
    <w:p>
      <w:r>
        <w:t>Der Begriff der Zivilbevölkerung erfordert in quantitativer Hinsicht eine Mehrheit von Personen, die gezielt angegriffen werden (z.B. Bewohner eines bestimmten geographischen Gebiets; VEST, Kommentar, N. 71 zu Art. 264a StGB ). Damit scheiden isolierte Delikte gegen Einzelpersonen aus; die Zivilbevölkerung i.S.v. Art. 264a Abs. 1 StGB muss nicht die gesamte Bevölkerung eines Gebiets umfassen (VEST, Kommentar, N. 67 ff. zu Art. 264a StGB ; WEHRENBERG/EHLERT, a.a.O., N. 24 zu Art. 264a StGB ; WERLE, a.a.O., N. 862). Geschützt ist sowohl die gegnerische als auch die eigene Zivilbevölkerung. Die angegriffene Bevölkerung bleibt ziviler Natur, auch wenn sich einzelne Kombattanten unter eine Gruppe mischen (DONATSCH/WOHLERS, a.a.O., S. 269 f.). Im Schrifttum wird zudem die Auffassung vertreten, dass Polizeipersonen sowie - in Friedenszeiten - Militärpersonen der Zivilbevölkerung zuzuordnen seien (AMBOS, a.a.O., N. 191; differenzierend VEST, Kommentar, N. 77 zu Art. 264a StGB ). Dies spricht für eine weite Auslegung des Begriffs der Zivilbevölkerung.</w:t>
      </w:r>
    </w:p>
    <w:p>
      <w:r>
        <w:rPr>
          <w:b/>
        </w:rPr>
        <w:t>E. 4.6</w:t>
      </w:r>
    </w:p>
    <w:p>
      <w:r>
        <w:t>Das schweizerische Recht kannte bis anhin keinen eigenen Foltertatbestand; in der Praxis behalf man sich mit einer Kombination der Freiheitsberaubung mit einer Körperverletzung und einer Nötigung (BBl 2008 3927). Nach Art. 264a Abs. 1 Bst. f StGB wird mit Freiheitsstrafe nicht unter fünf Jahren bestraft, wer im Rahmen eines ausgedehnten oder systematischen Angriffs gegen die Zivilbevölkerung einem unter seinem Gewahrsam oder seiner Kontrolle stehenden Menschen grosse Leiden oder eine schwere Schädigung des Körpers oder der physischen oder psychischen Gesundheit zufügt. Im Unterschied zum Übereinkommen vom 10. Dezember 1984 gegen Folter und andere grausame, unmenschliche oder erniedrigende Behandlung oder Strafe (UN-Folterkonvention; SR 0.105; für die Schweiz in Kraft seit 26. Juni 1987) setzt Art. 264a Abs. 1 Bst. f StGB nicht voraus, dass die Folter einem Zweck gedient haben muss und der Täter in offizieller Funktion gehandelt hat (VEST/SUTTER, Kommentar, N. 365 ff. zu Art. 254a StGB ; WEHRENBERG/EHLERT, a.a.O., N. 58 zu Art. 264a StGB ). Das Leiden oder die Schädigung durch Folter (zu den Formen im Einzelnen vgl. DONATSCH/WOHLERS, a.a.O., S. 275; VEST/SUTTER, Kommentar, N. 391 ff. zu Art. 254a StGB ) kann durch Tun oder Unterlassen hervorgerufen werden. Dabei sind die konkreten Beweggründe oder Motive des Täters ohne Belang. In besonders schweren Fällen, namentlich wenn die Tat viele Menschen betrifft oder der Täter grausam handelt, kann eine lebenslängliche Freiheitsstrafe ausgesprochen werden ( Art. 264a Abs. 2 StGB ); in weniger schweren Fällen von Folter kann auf Freiheitsstrafe nicht unter einem Jahr erkannt werden ( Art. 264a Abs. 3 StGB ).</w:t>
      </w:r>
    </w:p>
    <w:p>
      <w:r>
        <w:rPr>
          <w:b/>
        </w:rPr>
        <w:t>E. 4.7</w:t>
      </w:r>
    </w:p>
    <w:p>
      <w:r>
        <w:t>Gemäss Art. 264k StGB wird nach der gleichen Strafandrohung wie der Täter der Vorgesetzte bestraft, der weiss, dass eine ihm unterstellte Person eine Tat nach Art. 264-264j StGB begeht oder begehen wird, und der nicht angemessene Massnahmen ergreift, um diese Tat zu verhindern (Abs. 1). Verhindert der Vorgesetzte die Tat fahrlässig nicht, so ist die Sanktion Freiheitsstrafe bis zu drei Jahren oder Geldstrafe (Abs. 2). Vorgesetzte i.S.v. Art. 264k StGB sind Kommandanten (para-) militärischer Einheiten, sowie Militär- und Zivilpersonen, die faktisch als Befehlshaber (para-) militärischer Einheiten fungieren oder die als Führungspersonen in Wirtschaft oder Verwaltung Führungsaufgaben innerhalb von Organisationen, Betrieben und Behörden bzw. eine vergleichbare Position innehaben und über Kontrollgewalt und Durchsetzungsmacht ("effektive Kontrolle") verfügen (STRATENWERTH/ WOH LERS, Schweizerisches Strafgesetzbuch, Handkommentar, 3. Aufl. 2013, N. 2 zu Art. 264k StGB ; vgl. zum Ganzen ausführlich VEST, Kommentar, N. 60 und 67 ff. zu Art. 264k StGB ).</w:t>
      </w:r>
    </w:p>
    <w:p>
      <w:r>
        <w:rPr>
          <w:b/>
        </w:rPr>
        <w:t>E. 5.1</w:t>
      </w:r>
    </w:p>
    <w:p>
      <w:r>
        <w:t>Die Vorinstanz hat den dringenden Tatverdacht auf Begehung von Verbrechen gegen die Menschlichkeit auf Grund einer umfassenden Würdigung bejaht. Dabei mass sie dem unabhängigen Bericht des UN-Sonderberichterstatters über Folter, Juan E. Méndez, vom 16. März 2015 betreffend Gambia (A/HRC/28/68/Add. 4; nachfolgend: UN-Folterbericht), sowie dem unabhängigen Bericht des UN-Sonderberichterstatters über aussergerichtliche, willkürliche oder im Schnellverfahren beschlossene Hinrichtungen, Christof Heyns, vom 11. Mai 2015 betreffend Gambia (A/HRC/29/37/Add. 2) besondere Beachtung bei. Die Berichte würden glaubhaft und stark dafür sprechen, dass in der Zeit, in welcher der Beschwerdeführer Innenminister von Gambia war, zahlreiche Menschen in Gambia Opfer von Folterhandlungen geworden seien. Sie würden auch nahelegen, dass die Anwendung von Folter nicht in isolierten Einzelakten vorgekommen, sondern von der Regierung planmässig als Mittel eingesetzt worden sei, um die Bevölkerung einzuschüchtern und die Opposition zu unterdrücken. Die Regierung habe für die Ausführung offenbar verschiedene Organisationen und Gruppen gebildet und beauftragt (insbesondere die National Intelligence Agency, aber auch die "Bulldozers" oder "Junglers"), die der Polizei jedenfalls nahegestanden seien. Dem UN-Folterbericht könne entnommen werden, dass die Polizei in einigen Fällen selbst Folterhandlungen begangen habe. Es sei auch festgestellt worden, dass die Ahnungslosigkeit der Polizei über die Anwendung von Folter durch Polizeiorgane oder ihr nahestehende Gruppen vor diesem Hintergrund nicht glaubhaft erscheine.</w:t>
      </w:r>
    </w:p>
    <w:p>
      <w:r>
        <w:rPr>
          <w:b/>
        </w:rPr>
        <w:t>E. 5.2</w:t>
      </w:r>
    </w:p>
    <w:p>
      <w:r>
        <w:t>Weiter führte die Vorinstanz aus, die detaillierten Aussagen von B.________, einem Offizier der gambischen Armee, der von der National Intelligence Agency sowie von "Junglers" mehrmals gefoltert worden sein soll, und der Bericht des Instituts für Rechtsmedizin der Universität Bern vom 18. April 2017, in dem festgehalten werde, dass der von der Bundesanwaltschaft gehörte Zeuge am Rücken, am rechten Oberarm, am rechten Unterschenkel sowie an den Sprunggelenken Vernarbungen aufweise, liessen die Verdachtslage - wenn auch nicht erheblich - erhärtet erscheinen. Angesichts des nach wie vor frühen Verfahrensstadium sowie der von der Bundesanwaltschaft mittlerweile vorgenommenen und noch bevorstehenden Ermittlungen und Zeugenbefragungen (ein Rechtshilfeersuchen an Gambia ist derzeit noch hängig) bestehe ein dringender Verdacht gegen den Beschwerdeführer, Verbrechen gegen die Menschlichkeit i.S.v. Art. 264a StGB begangen zu haben. Insoweit müsse die Frage des dringenden Tatverdachts in Bezug auf weitere Tatbestände wie der schweren Körperverletzung ( Art. 122 StGB ) sowie der Gefährdung des Lebens ( Art. 129 StGB ) nicht weiter geprüft werden.</w:t>
      </w:r>
    </w:p>
    <w:p>
      <w:r>
        <w:rPr>
          <w:b/>
        </w:rPr>
        <w:t>E. 6.1</w:t>
      </w:r>
    </w:p>
    <w:p>
      <w:r>
        <w:t>Den Akten kann entnommen werden, dass der Beschwerdeführer ab 2003 Kommandant der Präsidentengarde, von September bis November 2006 Polizeichef und vom 22. November 2006 bis zum 16. September 2016 Innenminister Gambias gewesen war. Zudem wurde er 2012 zum Botschafter in Spanien und Venezuela ernannt, wobei er nach eigenen Aussagen dieses Amt nie angetreten habe.</w:t>
      </w:r>
    </w:p>
    <w:p>
      <w:r>
        <w:rPr>
          <w:b/>
        </w:rPr>
        <w:t>E. 6.2</w:t>
      </w:r>
    </w:p>
    <w:p>
      <w:r>
        <w:t>Der Beschwerdeführer bringt vor, es könne vorliegend von einem ausgedehnten oder systematischen Angriff gegen die Zivilbevölkerung auf Grundlage eines planmässigen Vorgehens bzw. der Politik eines Staates oder einer Organisation keine Rede sein. Gemäss den Feststellungen des UN-Folterberichts lägen gerade keine Beweise vor, dass Folterhandlungen der Polizei in einigen individuellen Fällen während der Festnahme oder während des Transfers zu Polizeistationen Teil eines verbreiteten Musters oder einer systematischen Praxis der Polizei gewesen wären. Der an die Vorinstanz gerichtete Vorwurf, sie verkenne den Tatbestand von Art. 264a StGB vollkommen und würdige den UN-Folterbericht einseitig oder gar voreingenommen, ist unbegründet, zumal sie bereits anlässlich der Überprüfung der Haftanordnung im Beschluss BH.2017.1 vom 24. Februar 2017 (in E. 5.3.5) die vom Beschwerdeführer zitierte Passage ausdrücklich berücksichtigt hat. Damals, wie auch im Rahmen des hier angefochtenen Haftverlängerungsentscheids, gelangte die Vorinstanz zutreffend zum Ergebnis, dass die Aussage des UN-Folterberichts, auf die sich der Beschwerdeführer beruft, an der Gesamtbeurteilung, dass die Anwendung von Folter von der Regierung planmässig als Mittel eingesetzt worden sei, um die Bevölkerung einzuschüchtern und die Opposition zu unterdrücken, nichts zu ändern vermöge. Entgegen der Auffassung des Beschwerdeführers handelt es sich bei den vorinstanzlichen Ausführungen um keine verzerrte Wiedergabe des UN-Folterberichts, der im Wesentlichen zum Schluss gelangte, dass während des Regimes vom Yahya Jammeh (unter anderem) die Strafverfolgungsbehörden und Sicherheitskräfte in Gambia im rechtsfreien Raum agierten ("operate without any legal oversight") und ungestraft Menschenrechtsverletzungen begehen konnten, insbesondere Folter, die namentlich im Anfangsstadium von Untersuchungshaft weit verbreitet war und zur Routine gehörte ("prevalent and routine"; vgl. Ziff. 97 f. des UN-Folterberichts). Abgesehen von dieser allgemeinen Einschätzung der Lage in Gambia sind einzelne Aussagen des UN-Folterberichts, der, wie UN-Sonderberichterstatter Méndez ausdrücklich und mit Bedauern hervorhebt, nur unter ausserordentlich schwierigen Umständen erstellt werden konnte, mit einer gewissen Zurückhaltung zu würdigen. Insbesondere wurde den beiden Berichterstattern der Zugang zu dem offenbar für Folterhandlungen an der Zivilbevölkerung berüchtigten Mile 2 Central Prison verweigert. Wie sodann UN-Sonderberichterstatter Heyns in seinem Bericht betont, herrschte eine Atmosphäre der Angst seitens der Zivilbevölkerung (vgl. Ziff. 80). Beide Sonderberichterstatter gaben in ihren Berichten zu verstehen, dass sie über weitergehende Dokumente und Informationen verfügen. Die Bundesanwaltschaft hat bereits im März 2017 zwei Rechtshilfeersuchen an den Menschenrechtsbeauftragten der Vereinten Nationen (Office of the High Commissioner for Human Rights, OHCHR) gestellt mit dem Begehren um Einvernahme der beiden UN-Sonderberichtserstatter Méndez und Heyns, die sich im Rahmen ihres Aufenthalts in Gambia 2015 auch mit dem Beschwerdeführer in seiner damaligen Funktion als Innenminister getroffen haben. Es ist anzunehmen, dass die Aussagen dieser Diplomaten zu einer Klärung des dringenden Tatverdachts betreffend Menschlichkeitsverbrechen beitragen können. Das OHCHR hat eine baldige Antwort zugesichert.</w:t>
      </w:r>
    </w:p>
    <w:p>
      <w:r>
        <w:rPr>
          <w:b/>
        </w:rPr>
        <w:t>E. 6.3</w:t>
      </w:r>
    </w:p>
    <w:p>
      <w:r>
        <w:t>Der Beschwerdeführer wendet weiter ein, der von der Bundesanwaltschaft befragte Zeuge B.________ sei damals wie heute Angehöriger der Armee. Der Angriff i.S.v. Art. 264a Abs. 1 StGB müsse sich jedoch gegen die Zivilbevölkerung gerichtet haben. Dies sei hier nicht der Fall. B.________ habe sich als Militärperson an einem Putschversuch gegen das Regime von Yahya Jammeh beteiligt. Die Vorinstanz hebt zutreffend hervor, dass der Zeuge nicht nur von der Verfolgung von Angehörigen der Armee berichte, sondern auch von Zivilisten. Sodann ist den beiden UN-Berichten zu entnehmen, dass sich der Angriff überwiegend die Zivilbevölkerung betraf. Wie bereits ausgeführt (E. 4.5.5. hiervor), schliesst der Umstand, dass sich der Angriff auch gegen Angehörige der Armee richtete, eine Subsumtion unter Art. 264a StGB nicht aus, zumal der Begriff der Zivilbevölkerung weit auszulegen ist. Insoweit zielen die Vorbringen des Beschwerdeführers ins Leere.</w:t>
      </w:r>
    </w:p>
    <w:p>
      <w:r>
        <w:rPr>
          <w:b/>
        </w:rPr>
        <w:t>E. 6.4</w:t>
      </w:r>
    </w:p>
    <w:p>
      <w:r>
        <w:t>Der Beschwerdeführer rügt, die ihm vorgeworfenen Handlungen seien weder bestimmt noch individualisiert. Dem angefochtenen Entscheid könne nicht entnommen werden, an welchen Handlungen er, der Beschwerdeführer, in irgendeiner Weise persönlich beteiligt gewesen sei. Es fehle an einer Analyse der strafrechtlichen Verantwortlichkeit des Vorgesetzten i.S.v. Art. 264k StGB . Der blosse Umstand, dass er einen Ministerposten bekleidet habe, genüge jedenfalls nicht. Dem UN-Folterbericht könne entnommen werden, dass Yahya Jammeh alle Entscheide selber getroffen habe. Die "Junglers" seien dem (ehemaligen) Präsidenten direkt unterstellt gewesen. Als Innenminister habe der Beschwerdeführer keine effektive Kontrolle über die Verwaltung Gambias ausgeübt; sodann habe sich das Folteropfer B.________ niemals unter seinem Gewahrsam oder seiner Kontrolle befunden. Es ist nicht Aufgabe des vorliegenden Verfahrens, die dem Beschwerdeführer zur Last gelegten Handlungen einer abschliessenden rechtlichen Würdigung zu unterziehen. Zu prüfen ist hier ausschliesslich, ob ein dringender Tatverdacht gegenüber dem Beschwerdeführer wegen Verbrechen gegen die Menschlichkeit besteht. Angesichts des frühen Verfahrensstadiums, der internationalen Dimension der Untersuchung und des spezifischen Tatvorwurfs der Verbrechen gegen die Menschlichkeit kann, wie die Vorinstanz zu Recht hervorhebt, nicht verlangt werden, dass dem Beschwerdeführer bereits im Einzelnen genau bestimmte Handlungen vorgeworfen werden. Ob diese auch in zeitlicher Hinsicht, d.h. nach Inkrafttreten des Art. 264a StGB am 1. Januar 2011, als Verbrechen gegen die Menschlichkeit qualifiziert werden können, wird im Laufe der Untersuchung noch zu klären sein. Dazu hat die Bundesanwaltschaft ausgeführt, die Ermittlungen würden sich auf Taten zwischen 2006 bis 2016 konzentrieren. Dass sie (bisher) nur Taten angeführt hat, die sich vor dem 1. Januar 2011 ereignet haben sollen (z.B. die Zeugenaussage von B.________ betreffend Handlungen im Jahr 2006), vermag, wie sogleich auszuführen sein wird, den dringenden Tatverdacht nicht zu entkräften, und kann - entgegen der Auffassung des Beschwerdeführers - für sich allein, jedenfalls im gegenwärtigen Verfahrensstadium, auch nicht zu einer Haftentlassung führen. Der Stellungnahme der Bundesanwaltschaft vom 12. Juli 2017 sowie den weiteren Akten kann entnommen werden, dass die Behörde intensiv ermittelt. Inzwischen erfolgten Rechtshilfeersuchen an Gambia und an internationale Behörden (wobei insbesondere die gambischen Behörden eine baldige Übermittlung der von der Bundesanwaltschaft ersuchten Informationen in Aussicht gestellt haben; zum Verfahrensstand beim OHCHR vgl. bereits E. 6.2 hiervor). Abgesehen von der Befragung von B.________ wurden sodann zwischenzeitlich weitere Zeugen und Privatkläger einvernommen (zudem sind weitere Befragungen geplant). Es ist zu erwarten, dass deren Ergebnisse zu einer Klärung des Tatverdachts beitragen werden. Ohne der weiteren Untersuchung vorzugreifen, ist jedenfalls festzustellen, dass die Bundesanwaltschaft bereits im jetzigen frühen Verfahrensstadium konkrete Hinweise auf ein systematisches Vorgehen gegen die Zivilbevölkerung, insbesondere gegen politische Oppositionelle bzw. Kritiker des Regimes von Yahya Jammeh, vorgelegt hat. In Bezug auf die Rolle des Beschwerdeführers haben die Bundesanwaltschaft und die Vorinstanz, gestützt auf die gambische Gesetzgebung (Prison Act), dargelegt, dass die generelle Verantwortung über die Gefängnisse, den Strafvollzug und den Umgang mit den Gefängnisinsassen dem Innenministerium oblag. Es ist jedenfalls keineswegs von vorherein ausgeschlossen, sondern vielmehr naheliegend, dass der Beschwerdeführer als Innenminister Einfluss auf die Handlungen der National Intelligence Agency und der "Junglers" nehmen konnte. Nach den Aussagen des Zeugen B.________ habe der stellvertretende Gefängnisdirektor des Mile 2 Central Prison erklärt, was immer an jenem Ort getan werde, beruhe auf einer Führungsdirektive; er, der stellvertretende Direktor, nehme Befehle von seinem Direktor entgegen, welcher wiederum Befehle vom Innenminister entgegennehme. Diese Zeugenaussage stellt die Behauptung des Beschwerdeführers, von systematischen Folterungen in Gefängnissen - ungeachtet seiner Position als Innenminister und rechte Hand von Yahya Jammeh während des Zeitraums von 2006 bis 2016 - keine Kenntnis gehabt zu haben, klarerweise in Frage. Im derzeitigen Verfahrensstadium vermag dies einen dringenden Tatverdacht zu begründen, auch wenn sich dieser im weiteren Verlauf der Strafuntersuchung noch wesentlich verdichten muss. Im Übrigen geht aus dem Haftverlängerungsentscheid vom 31. Juli 2017 (vgl. Bst. E hiervor) hervor, dass die zwischenzeitlich durchgeführten Einvernahmen von Zeugen und Privatklägern zu einer weiteren Verdichtung des Tatverdachts geführt haben. Nach dem Gesagten erweist sich die Rüge des Beschwerdeführers, es sei weder behauptet worden, dass er persönlich gehandelt, noch, dass er sich in irgendeiner Form an Handlungen beteiligt habe, als unbegründet. Entgegen seiner Auffassung hat die Vorinstanz die Strafbarkeit des Vorgesetzten i.S.v. Art. 264k StGB sehr wohl thematisiert, soweit dies im Rahmen des derzeitigen Verfahrensstadiums und der bisher gewonnenen Erkenntnisse möglich ist. Dass diesbezüglich keine Untersuchungshandlungen vorgenommen wurden, geht nach dem Dargelegten offensichtlich fehl.</w:t>
      </w:r>
    </w:p>
    <w:p>
      <w:r>
        <w:rPr>
          <w:b/>
        </w:rPr>
        <w:t>E. 6.5</w:t>
      </w:r>
    </w:p>
    <w:p>
      <w:r>
        <w:t>Soweit der Beschwerdeführer schliesst, wegen dem seines Erachtens fehlenden dringenden Tatverdacht der Verbrechen gegen die Menschlichkeit bestehe keine schweizerische Gerichtsbarkeit, ist ihm nicht zu folgen. Nachdem der dringende Tatverdacht i.S.v. Art. 264a StGB nach dem Ausgeführten zu bejahen ist, ergibt sich die schweizerische Gerichtsbarkeit aus Art. 264m StGB . Eine vertiefte Auseinandersetzung muss im vorliegenden Haftprüfungsverfahren nicht erfolgen; über allfällige Zuständigkeitsfragen wird das Sachgericht endgültig zu befinden haben.</w:t>
      </w:r>
    </w:p>
    <w:p>
      <w:r>
        <w:rPr>
          <w:b/>
        </w:rPr>
        <w:t>E. 6.6</w:t>
      </w:r>
    </w:p>
    <w:p>
      <w:r>
        <w:t>Die angeordnete Untersuchungshaft erscheint in zeitlicher Hinsicht verhältnismässig. Es droht keine Überhaft.</w:t>
      </w:r>
    </w:p>
    <w:p>
      <w:r>
        <w:rPr>
          <w:b/>
        </w:rPr>
        <w:t>E. 6.7</w:t>
      </w:r>
    </w:p>
    <w:p>
      <w:r>
        <w:t>Im Ergebnis hält der angefochtene Entscheid ohne Weiteres auch vor Verfassungs- und Konventionsrecht stand ( Art. 10 und 31 Abs. 1 BV sowie Art. 5 EMRK und Art. 9 UNO-Pakt II ). Mit Blick auf die Schwere der Vorwürfe, das frühe Verfahrensstadium des Strafverfahrens und die von der Bundesanwaltschaft noch vorzunehmenden Untersuchungshandlungen, von denen zu erwarten ist, dass sie in absehbarer Zeit zur Klärung des Tatverdachts führen werden, erweist sich die Beschwerde als unbegründet und ist sie abzuweisen.</w:t>
      </w:r>
    </w:p>
    <w:p>
      <w:r>
        <w:rPr>
          <w:b/>
        </w:rPr>
        <w:t>E. 7</w:t>
      </w:r>
    </w:p>
    <w:p>
      <w:r>
        <w:t>Der Beschwerdeführer ersucht um unentgeltliche Rechtspflege und Verbeiständung. Die Staatsanwaltschaft des Kantons Bern Jura-Seeland ordnete am 26. Januar 2017 gleichzeitig mit der Eröffnung der Untersuchung eine amtliche Verteidigung an (Art. 132 Abs. 1 Bst. a Ziff. 1 und Bst. b StPO). Mit Schreiben vom 6. Februar 2017 wandte sich Rechtsanwalt Philippe Currat an die Staatsanwaltschaft. Er sei von der Familie des Beschwerdeführers kontaktiert worden. Am 7. Februar 2017 zeigte er als Wahlverteidiger des Beschwerdeführers der Bundesanwaltschaft die Übernahme des Mandats an. In der Folge sistierte die Bundesanwaltschaft am 3. April 2017 das Mandat des amtlichen Verteidigers. Wie die Bundesanwaltschaft zutreffend ausführt, ist davon auszugehen, dass der Wahlverteidiger bei der Annahme des Mandats die Familie des Beschwerdeführers, wie auch diesen selbst, auf das bestehende amtliche Mandat wie auch die Kostenfolge bei einer Wahlverteidigung aufmerksam gemacht hat. Insoweit erscheint das Vorbringen des Beschwerdeführers, er sei bedürftig, seine finanziellen Mittel beschränkten sich auf die bei der Verhaftung vorgefundenen Barbeträge, als nicht glaubwürdig. Im Übrigen wird der Beschwerdeführer in der effektiven Geltendmachung der ihm zustehenden Verteidigungsrechte in keiner Weise beeinträchtigt. Es ist darauf hinzuweisen, dass der verfassungs- und konventionsrechtliche Anspruch auf angemessene Verteidigung ( Art. 32 Abs. 2 BV und Art. 6 Ziff. 3 Bst. c EMRK) mit einer amtlichen Verteidigung gewahrt werden kann. Der Umstand, dass es sich beim amtlichen Verteidiger nicht um den "Wunschanwalt" des Beschwerdeführers handelt, schliesst eine wirksame und ausreichende Verteidigung - jedenfalls im derzeitigen (frühen) Verfahrensstadium - nicht aus. Dass der amtliche Verteidiger ihn nicht effektiv verteidigen könne, wird vom Beschwerdeführer nicht geltend gemacht und ist auch nicht ersichtlich. Es steht dem Beschwerdeführer deshalb offen, das derzeit sistierte Mandat des amtlichen Verteidigers wieder zu beanspruchen. Sein Recht auf eine angemessene Verteidigung bleibt mithin gewahrt. Nach dem Gesagten hat der Beschwerdeführer seine finanziellen Verhältnisse nicht hinreichend offengelegt, dass beurteilt werden könnte, ob er nicht über die erforderlichen Mittel verfügt ( Art. 64 Abs. 1 BGG ).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