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1B_271/2014 vom 11. August 2014</w:t>
      </w:r>
    </w:p>
    <w:p>
      <w:r>
        <w:t>Bundesgericht, 2014-08-11, DE</w:t>
      </w:r>
    </w:p>
    <w:p>
      <w:r>
        <w:rPr>
          <w:b/>
        </w:rPr>
        <w:t xml:space="preserve">Quelle: </w:t>
      </w:r>
      <w:r>
        <w:t>https://mcp.opencaselaw.ch/entscheid/bger_1B_271_2014</w:t>
      </w:r>
    </w:p>
    <w:p>
      <w:r>
        <w:t>FR: TF 1B_271/2014 du 11 août 2014</w:t>
      </w:r>
    </w:p>
    <w:p>
      <w:r>
        <w:t>IT: TF 1B_271/2014 del 11 agosto 2014</w:t>
      </w:r>
    </w:p>
    <w:p>
      <w:pPr>
        <w:pStyle w:val="Heading2"/>
      </w:pPr>
      <w:r>
        <w:t>Erwägungen</w:t>
      </w:r>
    </w:p>
    <w:p>
      <w:r>
        <w:rPr>
          <w:b/>
        </w:rPr>
        <w:t>E. 1</w:t>
      </w:r>
    </w:p>
    <w:p>
      <w:r>
        <w:t>Das Bezirksgericht Horgen sprach A.________ mit Urteil vom 28. Januar 2014 des gewerbs- und bandenmässigen Diebstahls, der mehrfachen Sachbeschädigung und des mehrfachen, teilweise unvollendet versuchten Hausfriedensbruchs schuldig und verurteilte ihn zu einer Freiheitsstrafe von vier Jahren, abzüglich 324 Tagen erstandener Haft, als Zusatzstrafe zum Urteil des Amtsgerichts München vom 8. Mai 2012. Mit am selben Tag gefälltem Beschluss wurde die Fortdauer der Sicherheitshaft bis zum möglichen Strafantritt, längstens jedoch bis zum 28. Juli 2014 angeordnet.</w:t>
      </w:r>
    </w:p>
    <w:p>
      <w:r>
        <w:rPr>
          <w:b/>
        </w:rPr>
        <w:t>E. 2</w:t>
      </w:r>
    </w:p>
    <w:p>
      <w:r>
        <w:t>Gegen die erstinstanzliche Verurteilung reichte A.________ eine Berufungserklärung ein. Mit Eingabe vom 23. Juni 2014 ersuchte er um Aufhebung der Sicherheitshaft. Die I. Strafkammer des Obergerichts des Kantons Zürich wies mit Verfügung vom 10. Juli 2014 das Haftentlassungsgesuch ab. Zur Begründung führte die I. Strafkammer zusammenfassend aus, dass sowohl der dringende Tatverdacht als auch Fluchtgefahr gegeben seien. Ausserdem drohe dem Beschuldigten bei der Verurteilung durch die Berufungsinstanz eine Sanktion, zu welcher die vorliegende Haftdauer noch nicht in allzu grosse Nähe gerückt sei.</w:t>
      </w:r>
    </w:p>
    <w:p>
      <w:r>
        <w:rPr>
          <w:b/>
        </w:rPr>
        <w:t>E. 3</w:t>
      </w:r>
    </w:p>
    <w:p>
      <w:r>
        <w:t>A.________ führt mit Eingabe vom 29. Juli 2014 (Postaufgabe 6. August 2014) Beschwerde in Strafsachen gegen die Verfügung der 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w:t>
      </w:r>
    </w:p>
    <w:p>
      <w:r>
        <w:t>Der Beschwerdeführer, der keinen zulässigen Beschwerdegrund nennt, setzt sich mit seiner hauptsächlich appellatorischen Kritik überhaupt nicht mit der Begründung der I. Strafkammer, die zur Abweisung seines Haftentlassungsgesuchs führte, auseinander. Aus seinen Ausführungen ergibt sich nicht, inwiefern die Begründung der Strafkammer bzw. deren Verfügung selbst rechts- bzw. verfassungswidrig sein soll. Die Beschwerde genügt daher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