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1B_271/2012 vom 6. September 2012</w:t>
      </w:r>
    </w:p>
    <w:p>
      <w:r>
        <w:t>Bundesgericht, 2012-09-06, FR</w:t>
      </w:r>
    </w:p>
    <w:p>
      <w:r>
        <w:rPr>
          <w:b/>
        </w:rPr>
        <w:t xml:space="preserve">Quelle: </w:t>
      </w:r>
      <w:r>
        <w:t>https://mcp.opencaselaw.ch/entscheid/bger_1B_271_2012</w:t>
      </w:r>
    </w:p>
    <w:p>
      <w:r>
        <w:t>FR: TF 1B_271/2012 du 6 septembre 2012</w:t>
      </w:r>
    </w:p>
    <w:p>
      <w:r>
        <w:t>IT: TF 1B_271/2012 del 6 settembre 2012</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sur une plainte pénale,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1.2.1</w:t>
      </w:r>
    </w:p>
    <w:p>
      <w:r>
        <w:t>Le recourant admet que, s'agissant d'actes commis par des agents de l'Etat, il ne dispose pas de prétentions civiles au sens de l'art. 81 al. 1 let. b ch. 5 LTF. Il estime toutefois qu'en application des art. 10 al. 3 Cst. , 7 Pacte ONU II, 2 et 3 CEDH et 13 par. 1 de la Convention des Nations Unies contre la torture et autres peines ou traitements cruels, inhumains ou dégradants, il devrait se voir reconnaître un droit de recours, dès lors que les agissements dénoncés l'ont mis en danger de mort.</w:t>
      </w:r>
    </w:p>
    <w:p>
      <w:r>
        <w:rPr>
          <w:b/>
        </w:rPr>
        <w:t>E. 1.2.2</w:t>
      </w:r>
    </w:p>
    <w:p>
      <w:r>
        <w:t>La jurisprudence fondée sur les dispositions précitées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 p. 88).</w:t>
      </w:r>
    </w:p>
    <w:p>
      <w:r>
        <w:rPr>
          <w:b/>
        </w:rPr>
        <w:t>E. 1.2.3</w:t>
      </w:r>
    </w:p>
    <w:p>
      <w:r>
        <w:t>Au stade de la recevabilité, il n'y a pas lieu d'examiner si les actes dénoncés sont effectivement constitutifs de violations des dispositions précitées, si leurs auteurs ont agi de manière proportionnée et peuvent être mis au bénéfice de faits justificatifs. Il y a donc lieu d'entrer en matière.</w:t>
      </w:r>
    </w:p>
    <w:p>
      <w:r>
        <w:rPr>
          <w:b/>
        </w:rPr>
        <w:t>E. 2</w:t>
      </w:r>
    </w:p>
    <w:p>
      <w:r>
        <w:t>Invoquant les art. 309 al. 4 et 310 al. 1 let. a CPP, le recourant relève en premier lieu qu'une ordonnance de non-entrée en matière doit être rendue "immédiatement". Près d'une année après le dépôt de sa plainte, le recourant estime qu'il pouvait prétendre à ce qu'une instruction soit ouverte.</w:t>
      </w:r>
    </w:p>
    <w:p>
      <w:r>
        <w:rPr>
          <w:b/>
        </w:rPr>
        <w:t>E. 2.1</w:t>
      </w:r>
    </w:p>
    <w:p>
      <w:r>
        <w:t>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 art. 309 CPP (CORNU, Commentaire romand CPP, n° 2 ad art. 310).</w:t>
      </w:r>
    </w:p>
    <w:p>
      <w:r>
        <w:rPr>
          <w:b/>
        </w:rPr>
        <w:t>E. 2.2</w:t>
      </w:r>
    </w:p>
    <w:p>
      <w:r>
        <w:t>En l'occurrence, la plainte a été formée le 21 février 2011 et la décision de non-entrée en matière a été rendue le 24 janvier 2012, Entretemps, aucune décision formelle d'ouverture d'une instruction n'a été prise par le Ministère public, avec la mention des prévenus et des infractions qui leur sont imputées comme l'exige l' art. 309 al. 3 CPP . Quand bien même il s'est écoulé près d'une année entre le dépôt de la plainte et l'ordonnance de non-entrée en matière, la procédure n'a pas dépassé le stade de l'investigation policière. Contrairement à ce que soutient le recourant, le simple écoulement du temps ne saurait donner droit à l'ouverture d'une instruction. Le grief doit être écarté.</w:t>
      </w:r>
    </w:p>
    <w:p>
      <w:r>
        <w:rPr>
          <w:b/>
        </w:rPr>
        <w:t>E. 3</w:t>
      </w:r>
    </w:p>
    <w:p>
      <w:r>
        <w:t>Invoquant l' art. 310 CPP et le principe "in dubio pro duriore", le recourant estime que les conditions d'une non-entrée en matière ne seraient pas réunies, car la situation de fait ne serait pas claire: il y aurait de nombreuses contradictions (reconnues par la cour cantonale) entre les déclarations des intéressés, s'agissant des circonstances dans lesquelles les coups de feu ont été tirés. Le recourant prétend qu'il s'apprêtait à démarrer en marche avant, de sorte que ni l'agent B.________, ni la passante n'étaient plus menacés. L'auteur du rapport balistique aurait par ailleurs dû être entendu afin de déterminer les intentions des tireurs et les risques encourus. L'appréciation juridique se baserait ainsi sur un état de fait contesté. Les conséquences graves de l'acte dénoncé imposeraient également d'entrer en matière sur la plainte, l'autorité ne pouvant sans autre retenir la version la plus favorable aux policiers.</w:t>
      </w:r>
    </w:p>
    <w:p>
      <w:r>
        <w:rPr>
          <w:b/>
        </w:rPr>
        <w:t>E. 3.1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3.2</w:t>
      </w:r>
    </w:p>
    <w:p>
      <w:r>
        <w:t>En l'occurrence, l'arrêt attaqué ne retient que les faits qui ont été clairement établis durant l'enquête dirigée contre le recourant. Celui-ci a pris part à une attaque d'un bureau de change, à l'explosif et à l'arme de guerre. Alors qu'il sortait du bureau de change, il a été interpellé par les deux policiers qui lui ont adressé les sommations d'usage. Malgré cela, il s'est enfui, s'est emparé d'un véhicule après avoir fait fuir sa passagère et a tenté de démarrer alors qu'il était mis en joue par les agents, situés à l'avant et à l'arrière du véhicule. Lors de son démarrage, il a embouti une borne puis a enclenché la marche arrière. Durant cette manoeuvre, il a bousculé l'agent B.________ et heurté une passante avec la portière restée ouverte, fait chuter celle-ci et roulé à deux reprises sur ses jambes lors de nouvelles manoeuvres. Conformément à ce que soutient le recourant, c'est bien au moment de repartir en avant que les coups de feu ont été tirés, à une distance très réduite.</w:t>
      </w:r>
    </w:p>
    <w:p>
      <w:r>
        <w:t>Les faits déterminants apparaissent dès lors suffisamment établis et les critiques du recourant sur ce point sont sans fondement.</w:t>
      </w:r>
    </w:p>
    <w:p>
      <w:r>
        <w:rPr>
          <w:b/>
        </w:rPr>
        <w:t>E. 3.3</w:t>
      </w:r>
    </w:p>
    <w:p>
      <w:r>
        <w:t>Il en va de même de l'application du droit. La jurisprudence rendue à propos des art. 2 par. 2 CEDH et 10 al. 1 Cst. autorise en effet l'usage de l'arme lorsqu'il s'agit d'empêcher la fuite d'un individu soupçonné d'une infraction grave et présentant un danger particulier pour la vie ou l'intégrité corporelle d'autrui ( ATF 136 I 87 consid. 4.2 p. 96). Selon l'art. 3 de l'arrêté du Département cantonal de justice et police du 30 août 1976 concernant l'usage des armes à feu, le recours aux armes, proportionné aux circonstances, est autorisé comme ultime moyen notamment lorsqu'une personne, ayant commis ou étant fortement soupçonnée d'avoir commis un crime ou un délit grave, tente de se soustraire par la fuite à l'arrestation (let. a) ou lorsque la police peut ou doit déduire de renseignements communiqués ou de ses propres constatations, qu'une personne, faisant courir à autrui un danger grave et imminent pour sa vie ou sa santé, tente de se soustraire par la fuite à une arrestation (let. b).</w:t>
      </w:r>
    </w:p>
    <w:p>
      <w:r>
        <w:rPr>
          <w:b/>
        </w:rPr>
        <w:t>E. 3.4</w:t>
      </w:r>
    </w:p>
    <w:p>
      <w:r>
        <w:t>En l'occurrence, compte tenu de la violence de l'attaque (même si le recourant lui-même n'était armé que d'une hache au moment de pénétrer dans le bureau de change), du refus constant d'obtempérer aux sommations des agents et de l'attitude du recourant au volant du véhicule dont il s'était emparé, il était manifeste que celui-ci était déterminé à prendre la fuite par n'importe quel moyen, au mépris de la sécurité, voire de la vie d'autrui. C'est donc dans l'intention évidente d'empêcher la fuite d'un individu considéré à juste titre comme dangereux que les policiers ont fait usage de leur arme. Il est par ailleurs établi que les policiers n'ont pas visé les organes vitaux du recourant, celui-ci n'ayant été atteint qu'aux bras. Dans ces circonstances, le Ministère public et la cour cantonale pouvaient retenir à juste titre qu'une condamnation apparaissait d'emblée exclue: en présence des faits justificatifs prévus à l' art. 14 CP , et les policiers ayant agi de manière proportionnée, les conditions posées à l' art. 310 al. 1 let. a CPP pouvaient être considérées comme réunies.</w:t>
      </w:r>
    </w:p>
    <w:p>
      <w:r>
        <w:rPr>
          <w:b/>
        </w:rPr>
        <w:t>E. 4</w:t>
      </w:r>
    </w:p>
    <w:p>
      <w:r>
        <w:t>Sur le vu de ce qui précède, le recours doit être rejeté. Le recourant a demandé l'assistance judiciaire. Celle-ci lui a été refusée pour la procédure de recours cantonale, mais lui a été accordée pour la procédure pénale dont il fait l'objet, ainsi que pour les besoins de celle relative à sa propre plainte. Elle peut dès lors également lui être accordée à ce stade, même si les chances de succès étaient d'emblée réduites. Me Yaël Hayat est désignée comme avocate d'office,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