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270/2019 vom 17. Juni 2019</w:t>
      </w:r>
    </w:p>
    <w:p>
      <w:r>
        <w:t>Bundesgericht, 2019-06-17, DE</w:t>
      </w:r>
    </w:p>
    <w:p>
      <w:r>
        <w:rPr>
          <w:b/>
        </w:rPr>
        <w:t xml:space="preserve">Quelle: </w:t>
      </w:r>
      <w:r>
        <w:t>https://mcp.opencaselaw.ch/entscheid/bger_1B_270_2019</w:t>
      </w:r>
    </w:p>
    <w:p>
      <w:r>
        <w:t>FR: TF 1B 270/2019 du 17 juin 2019</w:t>
      </w:r>
    </w:p>
    <w:p>
      <w:r>
        <w:t>IT: TF 1B 270/2019 del 17 giugno 2019</w:t>
      </w:r>
    </w:p>
    <w:p>
      <w:pPr>
        <w:pStyle w:val="Heading2"/>
      </w:pPr>
      <w:r>
        <w:t>Regeste</w:t>
      </w:r>
    </w:p>
    <w:p>
      <w:r>
        <w:t>Strafverfahren; Entsiegelung | Strafprozess</w:t>
      </w:r>
    </w:p>
    <w:p>
      <w:pPr>
        <w:pStyle w:val="Heading2"/>
      </w:pPr>
      <w:r>
        <w:t>Erwägungen</w:t>
      </w:r>
    </w:p>
    <w:p>
      <w:r>
        <w:rPr>
          <w:b/>
        </w:rPr>
        <w:t>E. 1</w:t>
      </w:r>
    </w:p>
    <w:p>
      <w:r>
        <w:t>Das Zwangsmassnahmengericht des Bezirks Zürich schrieb mit Verfügung vom 6. Mai 2019 das von der Staatsanwaltschaft Zürich-Limmat angestrengte Entsiegelungsverfahren als gegenstandslos geworden ab mit der Begründung, A.________ habe ihr Siegelungsbegehren vom 5. April 2019 am 29. April 2019 zurückgezogen. Mit Beschwerde vom 3. Juni 2019 beantragt A.________ sinngemäss, diese Verfügung aufzuheben. Ihr amtlicher Verteidiger, Rechtsanwalt B.________, habe zwar "in ihrem Namen" und "in ihrem Auftrag" das Siegelungsbegehren zurückgezogen. Einen solchen Auftrag habe sie ihm indessen nie erteilt. Vernehmlassungen wurden keine eingeholt.</w:t>
      </w:r>
    </w:p>
    <w:p>
      <w:r>
        <w:rPr>
          <w:b/>
        </w:rPr>
        <w:t>E. 2.1</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2.2</w:t>
      </w:r>
    </w:p>
    <w:p>
      <w:r>
        <w:t>Gegenstand des vorliegenden Verfahrens kann einzig sein, ob die Vorinstanz Bundesrecht verletzte, indem sie das Entsiegelungsverfahren als gegenstandslos geworden abschrieb. Soweit die Beschwerdeführerin, was über weite Strecken der Fall ist, andere Fragen aufwirft, etwa zur Untersuchungshaft oder zu einem allfälligen Wechsel des amtlichen Verteidigers, geht die Beschwerde an der Sache vorbei.</w:t>
      </w:r>
    </w:p>
    <w:p>
      <w:r>
        <w:rPr>
          <w:b/>
        </w:rPr>
        <w:t>E. 2.3</w:t>
      </w:r>
    </w:p>
    <w:p>
      <w:r>
        <w:t>Die Beschwerdeführerin bestreitet nicht, dass ihr amtlicher Anwalt das Siegelungsbegehren zurückgezogen hat. Dazu war er kraft seines Mandates befugt, und zwar unabhängig davon, ob ihm die Beschwerdeführerin einen besonderen Auftrag dazu erteilt hat oder nicht. Das Zwangsmassnahmengericht konnte dementsprechend das Verfahren gestützt auf diesen Rückzug des Verteidigers abschreiben, ohne Bundesrecht zu verletzen. Der Einwand der Beschwerdeführerin, ihr amtlicher Verteidiger habe das Siegelungsbegehren zurückgezogen, obwohl sie ihm dazu keinen Auftrag erteilt habe, ist daher von vornherein nicht geeignet, den angefochtenen Entscheid bundesrechtswidrig erscheinen zu lassen. Auf die Beschwerde ist wegen Verletzung der gesetzlichen Begründungspflicht im vereinfachten Verfahren nicht einzutreten.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