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270/2007 vom 21. Juli 2009</w:t>
      </w:r>
    </w:p>
    <w:p>
      <w:r>
        <w:t>Bundesgericht, 2009-07-21, DE</w:t>
      </w:r>
    </w:p>
    <w:p>
      <w:r>
        <w:rPr>
          <w:b/>
        </w:rPr>
        <w:t xml:space="preserve">Quelle: </w:t>
      </w:r>
      <w:r>
        <w:t>https://mcp.opencaselaw.ch/entscheid/bger_1B_270_2007</w:t>
      </w:r>
    </w:p>
    <w:p>
      <w:r>
        <w:t>FR: TF 1B 270/2007 du 21 juillet 2009</w:t>
      </w:r>
    </w:p>
    <w:p>
      <w:r>
        <w:t>IT: TF 1B 270/2007 del 21 luglio 2009</w:t>
      </w:r>
    </w:p>
    <w:p>
      <w:pPr>
        <w:pStyle w:val="Heading2"/>
      </w:pPr>
      <w:r>
        <w:t>Regeste</w:t>
      </w:r>
    </w:p>
    <w:p>
      <w:r>
        <w:t>Ausstand | Zuständigkeitsfragen, Garantie des Wohnsitzrichters und des v...</w:t>
      </w:r>
    </w:p>
    <w:p>
      <w:pPr>
        <w:pStyle w:val="Heading2"/>
      </w:pPr>
      <w:r>
        <w:t>Erwägungen</w:t>
      </w:r>
    </w:p>
    <w:p>
      <w:r>
        <w:rPr>
          <w:b/>
        </w:rPr>
        <w:t>E. 1</w:t>
      </w:r>
    </w:p>
    <w:p>
      <w:r>
        <w:t>Beim angefochtenen Beschluss des Obergerichts handelt es sich um einen strafprozessualen Zwischenentscheid. Die direkte Anfechtbarkeit von Vor- und Zwischenentscheiden mit der Beschwerde in Strafsachen richtet sich nach Art. 92 f. BGG. Nach Art. 92 Abs. 1 BGG ist gegen selbständig eröffnete Vor- und Zwischenentscheide über Ausstandsbegehren die Beschwerde zulässig. Da auch die übrigen Sachurteilsvoraussetzungen erfüllt sind, ist auf die Beschwerde einzutreten.</w:t>
      </w:r>
    </w:p>
    <w:p>
      <w:r>
        <w:rPr>
          <w:b/>
        </w:rPr>
        <w:t>E. 2</w:t>
      </w:r>
    </w:p>
    <w:p>
      <w:r>
        <w:t>Der Beschwerdeführer ist der Ansicht, die drei Richter des Bezirksgerichts Bülach seien in unzulässiger Weise vorbefasst. Diese hätten sich zur Schuldfrage nicht nur eine vorläufige Meinung gebildet, sondern ihre Meinung bereits öffentlich und definitiv in einem Urteil festgelegt. Die psychologischen Hürden, davon abzuweichen, seien offensichtlich grösser als bei jeder anderen Art von Vorbefassung. Des Weitern rügt der Beschwerdeführer, das Obergericht habe ihn vorverurteilt, indem es im angefochtenen Entscheid festhalte, die objektive Beweislage spreche für die Schuld des Angeklagten, sofern sich der Sachverhalt nicht durch das Plädoyer des neuen Strafverteidigers und allfällige Beweisanträge ändere. Diese Äusserung stelle eine Verletzung der Unschuldsvermutung dar. Schliesslich beanstandet der Beschwerdeführer eine Verletzung des Anspruchs auf rechtliches Gehör, da die Verwaltungskommission des Obergerichts sich nicht mit der von ihm dargelegten Bundesgerichtspraxis und den besonderen Umständen des Einzelfalles auseinandergesetzt habe.</w:t>
      </w:r>
    </w:p>
    <w:p>
      <w:r>
        <w:rPr>
          <w:b/>
        </w:rPr>
        <w:t>E. 3.1</w:t>
      </w:r>
    </w:p>
    <w:p>
      <w:r>
        <w:t>Wegen der formellen Natur des Anspruchs auf rechtliches Gehör ist diese Rüge vorab zu prüfen. Das rechtliche Gehör nach Art. 29 Abs. 2 BV verlangt, dass die Behörde die Vorbringen des vom Entscheid in seiner Rechtsstellung Betroffenen tatsächlich hört, prüft und in der Entscheidfindung berücksichtigt ( BGE 124 I 241 E. 2 S. 242,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3.2</w:t>
      </w:r>
    </w:p>
    <w:p>
      <w:r>
        <w:t>Der angefochtene Beschluss erfüllt diese Anforderungen. Das Obergericht hat einlässlich dargelegt, weshalb es eine unzulässige Vorbefassung der drei Richter verneint (vgl. vorn A.b.). Dabei hat es auch auf die vom Beschwerdeführer zitierte Rechtsprechung des Bundesgerichts ( BGE 113 Ia 407 und 114 Ia 50) Bezug genommen. Der Beschwerdeführer macht nicht geltend, er wisse nicht, warum sein Ausstandsbegehren abgelehnt worden sei und könne die Beschwerde in materieller Hinsicht nicht begründen. Die Rüge der Gehörsverletzung ist demnach unbegründet.</w:t>
      </w:r>
    </w:p>
    <w:p>
      <w:r>
        <w:rPr>
          <w:b/>
        </w:rPr>
        <w:t>E. 4.1</w:t>
      </w:r>
    </w:p>
    <w:p>
      <w:r>
        <w:t>In der Sache beruft sich der Beschwerdeführer auf Art. 30 Abs. 1 BV und Art. 6 Ziff. 1 EMRK . Er macht nicht geltend, dass kantonale Recht über die Ausstandsvorschriften gehe über die verfassungs- und konventionsrechtlichen Garantien des unparteiischen, unvoreingenommenen und unbefangenen Richters hinaus. Die Rüge ist deshalb nur unter dem Blickwinkel dieser Garantien zu prüfen.</w:t>
      </w:r>
    </w:p>
    <w:p>
      <w:r>
        <w:rPr>
          <w:b/>
        </w:rPr>
        <w:t>E. 4.2</w:t>
      </w:r>
    </w:p>
    <w:p>
      <w:r>
        <w:t>Nach der in Art. 30 Abs. 1 BV und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ist die Garantie verletzt ( BGE 131 I 24 E. 1.1 S. 25, 113 E. 3.4 S. 116, je mit Hinweisen). Der Eindruck möglicher Voreingenommenheit entsteht bei den Parteien vor allem dann, wenn einzelne Gerichtspersonen in einem früheren Verfahren mit der konkreten Streitsache schon einmal befasst waren. In einem solchen Fall der sog. Vorbefassung stellt sich die Frage, ob sich ein Richter durch seine Mitwirkung an früheren Entscheidungen in einzelnen Punkten bereits in einem Mass festgelegt hat, das ihn nicht mehr als unbefangen und dementsprechend das Verfahren als nicht mehr offen erscheinen lässt. Ob von einer unzulässigen, den Verfahrensausgang vorwegnehmenden Vorbefassung eines Richters auszugehen ist, kann nicht generell gesagt werden, sondern ist im Einzelfall - anhand der tatsächlichen und verfahrensrechtlichen Umstände - zu untersuchen ( BGE 131 I 113 E. 3.4 S. 116 f. mit Hinweisen). Der Umstand allein, dass ein Richter an einem Urteil mitgewirkt hat, das im Rechtsmittelverfahren aufgehoben wird, schliesst diesen nach der Rechtsprechung noch nicht von der Neubeurteilung der zurückgewiesenen Sache aus. Ist ein Verfahrensfehler, beispielsweise eine Verletzung des Anspruchs auf rechtliches Gehör, begangen oder materielles Recht verletzt und daher ein Entscheid erfolgreich angefochten worden, darf und muss von den daran beteiligten Richtern grundsätzlich erwartet werden, dass sie die Sache mit der nötigen Professionalität und Unvoreingenommenheit nochmals behandeln ( BGE 131 I 113 E. 3.6 S. 120; 116 Ia 28 E. 2a S. 30). Bei Vorliegen besonderer Umstände, so etwa, wenn konkrete Anhaltspunkte dafür sprechen, dass die Vorbefassung mit einer Strafsache bereits zur festen richterlichen Gewissheit über den Schuldpunkt geführt hat, ist die Annahme einer Befangenheit aber nicht auszuschliessen (Urteil des Bundesgerichts 1P.371/2005 vom 6. September 2005 E. 4). Dabei rechtfertigt sich im Strafverfahren eine strenge Handhabung des Erfordernisses des unbefangenen Richters mit Blick auf die Unschuldsvermutung ( Art. 32 Abs. 1 BV ): Jeder Angeklagte hat Anspruch darauf, im Hauptverfahren von einem Richter beurteilt zu werden, der sich hinsichtlich Schuld oder Unschuld des Angeklagten noch nicht festgelegt hat (Urteil des Bundesgerichts 1P.706/2003 vom 23. Februar 2004 E. 2.8, in: Pra 2004 Nr. 74 S. 433).</w:t>
      </w:r>
    </w:p>
    <w:p>
      <w:r>
        <w:rPr>
          <w:b/>
        </w:rPr>
        <w:t>E. 4.3</w:t>
      </w:r>
    </w:p>
    <w:p>
      <w:r>
        <w:t>Entgegen der Auffassung des Beschwerdeführers ist vorab festzuhalten, dass das Fehlen von Weisungen an die untere Instanz im Rückweisungsentscheid des Kassationsgerichts für sich allein keinen Ausstandsgrund darstellt. Der vorliegende Fall ist aufgrund folgender prozessualer Umstände zu beurteilen: Das erste in der Sache ergangene Urteil des Bezirksgerichts Bülach vom 5. Dezember 2001 wurde aufgehoben, weil dem Beschwerdeführer kein amtlicher Strafverteidiger beigegeben worden war. Das zweite Urteil des Bezirksgerichts Bülach vom 3. September 2003 sowie der dieses Urteil aufhebende Entscheid des Obergerichts litten ebenfalls am Verfahrensmangel der ungenügenden Strafverteidigung. Deshalb hob das Kassationsgericht das obergerichtliche Urteil am 4. Oktober 2005 auf und wies die Sache zur Wiederholung des Verfahrens an das Bezirksgericht zurück. Dem kassationsgerichtlichen Urteil ist zu entnehmen, dass der Präsident des Bezirksgerichts die Strafverteidigerin des Beschwerdeführers ausdrücklich darauf hinwies, dass noch nicht zu allen Punkten plädiert worden war (vgl. das Urteil des Kassationsgerichts vom 4. Oktober 2005 E. II.1. S. 7). Dennoch kam die Strafverteidigerin des Beschwerdeführers ihren diesbezüglichen Pflichten im erstinstanzlichen Verfahren nicht nach. Der Präsident des Bezirksgerichts hätte deshalb einen neuen amtlichen Strafverteidiger bestellen müssen, was er aber unterliess. In der Folge fällten die drei vom Ausstandsbegehren betroffenen Richter ihr Urteil im Wissen darum, dass der Beschwerdeführer nicht hinreichend vertreten war. Damit brachten sie zumindest sinngemäss zum Ausdruck, dass sie davon ausgehen, selbst bei einer rechtsgenüglichen Vertretung würden sie kein anderes Urteil fällen. Sie haben dadurch den Anschein erweckt, dass selbst neue Argumente eines neuen Strafverteidigers nicht zu einem anderen Urteil führen könnten. Angesichts dieser Haltung bestehen begründete Zweifel daran, dass die gleichen Richter in der Lage wären, allfällige Vorbringen des neuen amtlichen Strafverteidigers unvoreingenommen zu prüfen und bei der Fällung des neuen Urteils einzubeziehen. Unter den erwähnten besonderen Umständen (vgl. E. 4.2 hiervor) drängt sich somit ausnahmsweise die Annahme eines Ausstandsgrundes für die drei abgelehnten Richter auf, die im erstinstanzlichen Verfahren mitgewirkt haben. Die Garantie des unvoreingenommenen und unbefangenen Richters wird schon verletzt, wenn bei objektiver Betrachtungsweise auch nur der Anschein von Befangenheit besteht. Dieser Anschein kann hier nicht von der Hand gewiesen werden. Eine strenge Handhabung der Garantie rechtfertigt sich, wie gesagt, mit Blick auf die Unschuldsvermutung. Indem das Obergericht das Ausstandsbegehren ablehnte, hat es die Garantie des verfassungsmässigen Richters verletzt.</w:t>
      </w:r>
    </w:p>
    <w:p>
      <w:r>
        <w:rPr>
          <w:b/>
        </w:rPr>
        <w:t>E. 5</w:t>
      </w:r>
    </w:p>
    <w:p>
      <w:r>
        <w:t>Nach dem Gesagten ist die Rüge der Verletzung des unabhängigen Richters begründet. Die Prüfung der Frage, ob auch die Unschuldsvermutung verletzt wurde, erübrigt sich. Die Beschwerde ist gutzuheissen und der angefochtene Beschluss des Obergerichts aufzuheben. Das Ausstandsgesuch gegen die Richter R. Hohler, A. Seger und O. Bertschy ist gutzuheissen. Die Kosten- und Entschädigungsfolgen des vorinstanzlichen Verfahrens sind neu zu verlegen. Dem Ausgang des Verfahrens entsprechend sind keine Gerichtskosten zu erheben ( Art. 66 Abs. 1 und 4 BGG ) und hat der Kanton Zürich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