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26/2015 vom 16. Februar 2015</w:t>
      </w:r>
    </w:p>
    <w:p>
      <w:r>
        <w:t>Bundesgericht, 2015-02-16, FR</w:t>
      </w:r>
    </w:p>
    <w:p>
      <w:r>
        <w:rPr>
          <w:b/>
        </w:rPr>
        <w:t xml:space="preserve">Quelle: </w:t>
      </w:r>
      <w:r>
        <w:t>https://mcp.opencaselaw.ch/entscheid/bger_1B_26_2015</w:t>
      </w:r>
    </w:p>
    <w:p>
      <w:r>
        <w:t>FR: TF 1B 26/2015 du 16 février 2015</w:t>
      </w:r>
    </w:p>
    <w:p>
      <w:r>
        <w:t>IT: TF 1B 26/2015 del 16 febbraio 2015</w:t>
      </w:r>
    </w:p>
    <w:p>
      <w:pPr>
        <w:pStyle w:val="Heading2"/>
      </w:pPr>
      <w:r>
        <w:t>Regeste</w:t>
      </w:r>
    </w:p>
    <w:p>
      <w:r>
        <w:t>détention provisoire, durée des mesures de substitution | Procédure pénale</w:t>
      </w:r>
    </w:p>
    <w:p>
      <w:pPr>
        <w:pStyle w:val="Heading2"/>
      </w:pPr>
      <w:r>
        <w:t>Erwägungen</w:t>
      </w:r>
    </w:p>
    <w:p>
      <w:r>
        <w:rPr>
          <w:b/>
        </w:rPr>
        <w:t>E. 1</w:t>
      </w:r>
    </w:p>
    <w:p>
      <w:r>
        <w:t>Le recours en matière pénale ( art. 78 al. 1 LTF ) est ouvert contre une décision relative à la détention provisoire au sens des art. 212 ss CPP ( ATF 137 IV 22 consid. 1 p. 23). Selon l'art. 81 al. 1 let. a et b ch. 1 LTF, le prévenu a qualité pour faire valoir que les mesures de substitution qui lui ont été imposées devraient être prononcées pour une durée limitée. Le recours a été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Invoquant son droit d'être entendu, le recourant reproche à la cour cantonale de ne pas avoir examiné les griefs selon lesquels les mesures de substitution devraient être soumises à un contrôle périodique.</w:t>
      </w:r>
    </w:p>
    <w:p>
      <w:r>
        <w:rPr>
          <w:b/>
        </w:rPr>
        <w:t>E. 2.1</w:t>
      </w:r>
    </w:p>
    <w:p>
      <w:r>
        <w:t>La jurisprudence déduit du droit d'être entendu ( art. 29 al. 2 Cst. , art. 3 al. 2 let .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139 IV 179 consid. 2.2 p. 182; 134 I 83 consid. 4.1 p. 88 et les arrêts cités).</w:t>
      </w:r>
    </w:p>
    <w:p>
      <w:r>
        <w:rPr>
          <w:b/>
        </w:rPr>
        <w:t>E. 2.2</w:t>
      </w:r>
    </w:p>
    <w:p>
      <w:r>
        <w:t>Pour l'essentiel, la cour cantonale a examiné si, par leur durée, la détention provisoire subie et les mesures de substitution pouvaient se rapprocher de la peine encourue. L'arrêt attaqué retient toutefois également que l' art. 237 al. 4 CPP ne limite pas la durée des mesures de substitution, que celles-ci portent une atteinte moins grave aux droits fondamentaux que la détention avant jugement et que la protection juridique du prévenu apparaît suffisante. Sous l'angle du droit d'être entendu, cela peut constituer une réponse suffisante aux objections du recourant. Le grief d'ordre formel doit ainsi être écarté.</w:t>
      </w:r>
    </w:p>
    <w:p>
      <w:r>
        <w:rPr>
          <w:b/>
        </w:rPr>
        <w:t>E. 3</w:t>
      </w:r>
    </w:p>
    <w:p>
      <w:r>
        <w:t>Sur le fond, le recourant persiste à considérer que les art. 237 al. 4 CPP et 227 al. 7 CPP imposeraient, comme pour la détention provisoire, un contrôle périodique des mesures de substitution. On ne pourrait dès lors les ordonner pour une période indéterminée et les maintenir, comme l'a fait le Tmc, "jusqu'à droit jugé", même si le prévenu peut en tout temps contester les mesures de substitution. Le recourant relève que ces mesures (obligation de domicile, de travail et de production d'attestations, interdiction de relations avec certaines personnes), constituent une atteinte à la liberté de mouvement et à sa sphère privée.</w:t>
      </w:r>
    </w:p>
    <w:p>
      <w:r>
        <w:rPr>
          <w:b/>
        </w:rPr>
        <w:t>E. 3.1</w:t>
      </w:r>
    </w:p>
    <w:p>
      <w:r>
        <w:t>Concrétisant le principe de la proportionnalité, l' 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Pour surveiller l'exécution de ces mesures, le tribunal peut ordonner l'utilisation d'appareils techniques qui peuvent être fixés à la personne sous surveillance (al. 3).</w:t>
      </w:r>
    </w:p>
    <w:p>
      <w:r>
        <w:rPr>
          <w:b/>
        </w:rPr>
        <w:t>E. 3.2</w:t>
      </w:r>
    </w:p>
    <w:p>
      <w:r>
        <w:t>Selon l' art. 237 al. 4 CPP , les dispositions sur la détention provisoire et la détention pour des motifs de sûreté s'appliquent par analogie au prononcé des mesures de substitution ainsi qu'au recours contre elles. Selon l' art. 227 al. 7 CPP , la détention provisoire peut être prolongée plusieurs fois, chaque fois de trois mois au plus et, dans des cas exceptionnels, de six mois au plus. Ce contrôle périodique doit permettre de vérifier que les motifs de détention existent toujours et que les principes de célérité et de proportionnalité sont encore respectés ( ATF 137 IV 180 consid. 3.5 p. 186). Ce contrôle périodique s'impose durant l'instruction et la procédure de première instance, et jusqu'à la saisine de la juridiction d'appel ( ATF 139 IV 186 ).</w:t>
      </w:r>
    </w:p>
    <w:p>
      <w:r>
        <w:rPr>
          <w:b/>
        </w:rPr>
        <w:t>E. 3.3</w:t>
      </w:r>
    </w:p>
    <w:p>
      <w:r>
        <w:t>Le renvoi général de l' art. 237 al. 4 CPP aux règles matérielles et formelles concernant la détention se justifie par le fait que les mesures de substitution sont ordonnées aux mêmes conditions que la détention provisoire, soit en présence de soupçons suffisants ainsi que de risques de fuite, de collusion ou de réitération ( art. 221 CPP ), conditions qui doivent en elles-mêmes faire l'objet d'une réévaluation périodique. En outre, contrairement à ce que soutient la cour cantonale, les mesures de substitution ne sauraient sans autre être considérées comme des atteintes bénignes aux droits fondamentaux du prévenu: l'assignation à résidence constitue une certaine forme de détention, et l'obligation de travailler, de se soumettre à un traitement médical, voire un placement en institution (arrêt 1B_654/2011 du 7 décembre 2011) représentent des atteintes considérables à la liberté personnelle. A l'instar de la détention provisoire ou pour des motifs de sûreté, les mesures de substitution doivent en tout temps demeurer proportionnées au but poursuivi, tant par leur nature que par leur durée ( ATF 140 IV 74 consid. 2.2 p. 78). L'ensemble des raisons qui ont conduit à l'instauration d'un contrôle périodique de la détention provisoire doit dès lors aussi s'appliquer, en principe, à l'égard des mesures de substitution, y compris celles qui ne sont pas expressément mentionnées à l' art. 237 al. 2 CPP . Il peut être fait exception pour les mesures les plus légères qui consistent dans l'accomplissement d'un acte ponctuel. Ainsi, le versement de sûretés fait l'objet de dispositions spécifiques: l' art. 239 CPP précise les circonstances, les conditions et les modalités de la libération des sûretés, le législateur étant parti du principe que celles-ci doivent être maintenues jusqu'à l'issue de la procédure (cf. art. 239 al. 3 CPP ). Un engagement solennel de se présenter aux actes de procédure n'a pas non plus à être confirmé ou renouvelé périodiquement. Il en va de même du dépôt des papiers d'identité, qui permet au prévenu de conserver l'essentiel de sa liberté de mouvement. Pour ce type de mesures de substitution, la possibilité de demander en tout temps une levée constitue une garantie de procédure suffisante. En revanche, les autres mesures prévues à l' art. 237 al. 2 let . c à g CPP doivent être prononcées pour une durée déterminée. L'ordonnance du Tmc doit dès lors être réformée dans ce sens. Selon l' art. 227 al. 7 CPP , la prolongation peut être de trois mois au plus, et de six mois dans des cas exceptionnels. En l'occurrence, le recourant se voit imposer des mesures manifestement moins lourdes qu'une détention provisoire, et dont il ne conteste d'ailleurs pas le bien-fondé. Compte tenu de ces circonstances particulières, il se justifie de réformer l'ordonnance du Tmc et de fixer la durée des mesures de substitution à six mois, ce qui correspond au maximum prévu par la loi, étant précisé que le recourant pourra en tout temps saisir l'autorité d'une demande de révocation ou de modification des mesures de substitution ( art. 237 al. 5 et 228 CPP , par renvoi de l' art. 237 al. 4 CPP ).</w:t>
      </w:r>
    </w:p>
    <w:p>
      <w:r>
        <w:rPr>
          <w:b/>
        </w:rPr>
        <w:t>E. 4</w:t>
      </w:r>
    </w:p>
    <w:p>
      <w:r>
        <w:t>Le recours doit dès lors être admis pour les motifs qui précèdent. L'arrêt du 22 décembre 2014 est annulé et l'ordonnance du Tmc du 6 octobre 2014 est réformée en ce sens que les mesures de substitution sont ordonnées pour une durée de six mois. Conformément à l' art. 68 al. 2 LTF , une indemnité de dépens est allouée au recourant, à la charge du canton de Genève. Cela rend sans objet la demande d'assistance judiciaire. Conformément à l' art. 66 al. 4 LTF , il n'est pas perçu de frais judiciaires. La cause doit par ailleurs être renvoyée à la cour cantonale pour nouvelle décision sur les frais et dépens des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