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26/2008 vom 15. Februar 2008</w:t>
      </w:r>
    </w:p>
    <w:p>
      <w:r>
        <w:t>Bundesgericht, 2008-02-15, DE</w:t>
      </w:r>
    </w:p>
    <w:p>
      <w:r>
        <w:rPr>
          <w:b/>
        </w:rPr>
        <w:t xml:space="preserve">Quelle: </w:t>
      </w:r>
      <w:r>
        <w:t>https://mcp.opencaselaw.ch/entscheid/bger_1B_26_2008</w:t>
      </w:r>
    </w:p>
    <w:p>
      <w:r>
        <w:t>FR: TF 1B 26/2008 du 15 février 2008</w:t>
      </w:r>
    </w:p>
    <w:p>
      <w:r>
        <w:t>IT: TF 1B 26/2008 del 15 febbraio 2008</w:t>
      </w:r>
    </w:p>
    <w:p>
      <w:pPr>
        <w:pStyle w:val="Heading2"/>
      </w:pPr>
      <w:r>
        <w:t>Regeste</w:t>
      </w:r>
    </w:p>
    <w:p>
      <w:r>
        <w:t>Vernichtungsverfügung | Strafprozess</w:t>
      </w:r>
    </w:p>
    <w:p>
      <w:pPr>
        <w:pStyle w:val="Heading2"/>
      </w:pPr>
      <w:r>
        <w:t>Erwägungen</w:t>
      </w:r>
    </w:p>
    <w:p>
      <w:r>
        <w:rPr>
          <w:b/>
        </w:rPr>
        <w:t>E. 1</w:t>
      </w:r>
    </w:p>
    <w:p>
      <w:r>
        <w:t>Der Untersuchungsrichter des Kantons Freiburg führt gegen X.________ ein Strafverfahren wegen Widerhandlung gegen das Betäubungsmittelgesetz. Am 12. September 2007 teilte der Rechtsbeistand des Beschuldigten dem Untersuchungsrichter mit, X.________ könne die Bewachung seines Hanffeldes an der Prehlstrasse in Murten nicht mehr für lange garantieren und somit keine Verantwortung übernehmen, falls Drittpersonen die Hanfpflanzen behändigten. Am 14. September 2007 bestätigte der Untersuchungsrichter dem Anwalt von X.________ ein am selben Tag geführtes Telefongespräch wie folgt: - 1. Das Hanffeld von X.________ in Murten wird unter Vorbehalt der nachfolgenden Bedingungen wenn möglich am kommenden Mittwoch, spätestens aber am Donnerstag 20. September 2007, destilliert werden.</w:t>
      </w:r>
    </w:p>
    <w:p>
      <w:r>
        <w:rPr>
          <w:b/>
        </w:rPr>
        <w:t>E. 2</w:t>
      </w:r>
    </w:p>
    <w:p>
      <w:r>
        <w:t>Beim angefochtenen Entscheid handelt es sich um einen letztinstanzlichen kantonalen Zwischenentscheid über eine strafprozessuale Beschlagnahme bzw. Vernichtung (s. auch Urteil 1B_33/2007 vom 16. Juli 2007). Dagegen steht die Beschwerde in Strafsachen grundsätzlich offen (Art. 78 ff. i.V.m. Art. 93 BGG ). Gegen Vor- und Zwischenentscheide - die weder die Zuständigkeit noch den Ausstand betreffen (s. dazu Art. 92 BGG ) - ist die Beschwerde ans Bundesgericht gemäss Art. 93 Abs. 1 BGG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Soweit der Vor- oder Zwischenentscheid mit der Beschwerde in Strafsachen anzufechten ist, muss der nicht wieder gutzumachende Nachteil im Sinne von Art. 93 Abs. 1 lit. a BGG nicht bloss tatsächlicher, sondern rechtlicher Natur sein ( BGE 133 IV 139 E. 4 und 335 E. 4). Dies ergibt sich daraus, dass die Legitimation zur Beschwerde in Strafsachen gemäss Art. 81 Abs. 1 lit. b BGG ein rechtlich geschütztes Interesse an der Aufhebung oder Änderung des angefochtenen Entscheids voraussetzt. Bereits das Erfordernis des aktuellen Rechtsschutzinteresses ist indes zu verneinen, wenn in einem Fall wie dem vorliegenden, nach bereits vorgenommener Vernichtung der beschlagnahmten Gegenstände, der behauptete Nachteil auch bei Gutheissung der Beschwerde nicht mehr behoben werden könnte (vgl. in diesem Zusammenhang etwa BGE 118 Ia 488 E. 1a). Hinzu kommt nun aber, dass die vom Beschwerdeführer geltend gemachte Unrechtmässigkeit der Vernichtung der in Frage stehenden Hanfpflanzen und allfällige sich daraus ergebende Schadenersatzansprüche ohne weiteres Gegenstand des hängigen Strafverfahrens bilden können bzw. sich ohnehin erst gestützt auf das Ergebnis des Strafverfahrens abschliessend beurteilen lassen. Inwiefern dem Beschwerdeführer durch den hier angefochtenen Entscheid ein nicht wieder gutzumachender Nachteil der genannten Art droht, ist somit nicht ersichtlich. Auf die vorliegende Beschwerde ist daher nicht einzutreten. Da das Fehlen einer Eintretensvoraussetzung i.S. von Art. 93 Abs. 1 BGG offensichtlich ist, kann darüber im vereinfachten Verfahren nach Art. 108 Abs. 1 lit. a BGG entschieden werden.</w:t>
      </w:r>
    </w:p>
    <w:p>
      <w:r>
        <w:rPr>
          <w:b/>
        </w:rPr>
        <w:t>E. 3</w:t>
      </w:r>
    </w:p>
    <w:p>
      <w:r>
        <w:t>Angesichts der offensichtlichen Aussichtslosigkeit der vorliegenden Beschwerde kann dem Gesuch um unentgeltliche Prozessführung nicht entsprochen werden ( Art. 64 Abs. 1 BGG ). Von einer Kostenauflage kann jedoch unter den gegebenen Umständen ausnahmsweise abgesehen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