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1B_269/2018 vom 26. September 2018</w:t>
      </w:r>
    </w:p>
    <w:p>
      <w:r>
        <w:t>Bundesgericht, 2018-09-26, FR</w:t>
      </w:r>
    </w:p>
    <w:p>
      <w:r>
        <w:rPr>
          <w:b/>
        </w:rPr>
        <w:t xml:space="preserve">Quelle: </w:t>
      </w:r>
      <w:r>
        <w:t>https://mcp.opencaselaw.ch/entscheid/bger_1B_269_2018</w:t>
      </w:r>
    </w:p>
    <w:p>
      <w:r>
        <w:t>FR: TF 1B_269/2018 du 26 septembre 2018</w:t>
      </w:r>
    </w:p>
    <w:p>
      <w:r>
        <w:t>IT: TF 1B_269/2018 del 26 settembre 2018</w:t>
      </w:r>
    </w:p>
    <w:p>
      <w:pPr>
        <w:pStyle w:val="Heading2"/>
      </w:pPr>
      <w:r>
        <w:t>Erwägungen</w:t>
      </w:r>
    </w:p>
    <w:p>
      <w:r>
        <w:rPr>
          <w:b/>
        </w:rPr>
        <w:t>E. 1</w:t>
      </w:r>
    </w:p>
    <w:p>
      <w:r>
        <w:t>L'arrêt attaqué, qui confirme le maintien du séquestre sur des valeurs patrimoniales est un prononcé rendu en matière pénale au sens de l' art. 78 al. 1 LTF . En tant que titulaire des avoirs saisis, le recourant peut se prévaloir d'un intérêt juridique à obtenir l'annulation ou la modification de cette décision, de sorte qu'il dispose de la qualité pour recourir au sens de l' art. 81 al. 1 LTF ( ATF 133 IV 278 consid. 1.3 p. 282 s.; 128 IV 145 consid. 1a p. 148). 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cette condition est par ailleurs remplie peu importe la quotité séquestrée et/ou le montant des autres avoirs dont peut disposer en sus le recourant. 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Devant le Tribunal fédéral, le Ministère public produit un tableau récapitulatif du cheminement allégué suivi par les fonds litigieux. Cette pièce ne tend pas à contester la recevabilité du recours et n'est pas datée. Le Procureur ne prétend pas non plus qu'elle aurait figuré au dossier cantonal de recours et que le recourant y aurait eu accès. Partant, il s'agit d'une pièce nouvelle et elle est irrecevable ( art. 99 al. 1 LTF ).</w:t>
      </w:r>
    </w:p>
    <w:p>
      <w:r>
        <w:rPr>
          <w:b/>
        </w:rPr>
        <w:t>E. 3</w:t>
      </w:r>
    </w:p>
    <w:p>
      <w:r>
        <w:t>Le recourant se prévaut de violations de son droit d'être entendu, notamment en substance sous l'angle de son droit d'accès au dossier.</w:t>
      </w:r>
    </w:p>
    <w:p>
      <w:r>
        <w:t>Il reproche tout d'abord à l'autorité précédente d'avoir écarté ce même grief soulevé à l'encontre du Ministère public (cf. consid. 2 de l'arrêt attaqué). A cet égard, la cour cantonale a constaté que le Procureur n'avait effectivement pas joint les documents auxquels il faisait référence dans ses observations. Elle a cependant relevé que le recourant ne s'était pas plaint formellement d'une violation de son droit d'être entendu à ce sujet. En tout état, la juridiction précédente a considéré que les pièces bancaires citées concernaient des comptes détenus par le recourant lui-même ou par sa société, de sorte qu'elles lui étaient accessibles. Ce raisonnement peut être confirmé. En effet, le recourant ne conteste pas être le détenteur de la société E.________ SA (cf. en particulier ad C2 p. 3 de son mémoire) et a pu produire devant l'instance précédente à l'appui de son mémoire de recours certains relevés du compte bancaire n° 2 détenu auprès de l'établissement bancaire F.________ par E.________ SA afin d'étayer sa thèse (cf. pièces 2 ss des annexes produites devant le Tribunal cantonal).</w:t>
      </w:r>
    </w:p>
    <w:p>
      <w:r>
        <w:t>Dans ses observations complémentaires, le recourant se plaint en substance de ne pas avoir eu accès aux vingt-six classeurs produits par la cour cantonale à la suite de son recours au Tribunal fédéral. Il s'agit essentiellement des pièces de l'instruction pénale ouverte à l'encontre du prévenu C.________ et non pas du recourant. Celui-ci ne dispose dès lors des droits de partie - dont celui d'avoir accès au dossier - que dans la mesure nécessaire à la sauvegarde de ses intérêts ( art. 105 al. 1 let . f et 2 CPP), notamment dans le cadre du séquestre pénal faisant l'objet de la présente procédure. Or, que ce soit dans son mémoire de recours ou dans ses observations complémentaires, le recourant ne fait pas état d'un considérant de la décision attaquée qui ferait référence à des éléments ou à des pièces dont il n'aurait pas eu connaissance ou qui ne se trouveraient pas à sa disposition par d'autres biais (cf. ci-dessus). Par conséquent, le grief de violation du droit d'être entendu soulevé contre la cour cantonale - dans la mesure d'ailleurs où il ne serait pas tardif - peut également être écarté.</w:t>
      </w:r>
    </w:p>
    <w:p>
      <w:r>
        <w:rPr>
          <w:b/>
        </w:rPr>
        <w:t>E. 4</w:t>
      </w:r>
    </w:p>
    <w:p>
      <w:r>
        <w:t>Le recourant ne remet pas en cause le fait qu'à un moment donné et à la suite peut-être de plusieurs virements, l'argent litigieux a été versé sur le compte faisant l'objet du séquestre (cf. consid. 3.3 p. 8 de l'arrêt attaqué).</w:t>
      </w:r>
    </w:p>
    <w:p>
      <w:r>
        <w:t>Invoquant des violations de l' art. 263 CPP , ainsi que de l' art. 70 al. 1 et 2 CP , le recourant reproche en revanche à l'autorité précédente d'avoir confirmé le séquestre, à hauteur de 330'000 fr., de son compte bancaire. A cet égard, il soutient en substance que les soupçons de la commission d'une infraction ne seraient pas suffisants pour justifier la mesure de contrainte prononcée à son encontre. Il prétend également que les versements litigieux reçus en 2012 constitueraient le remboursement du prêt accordé en 2011 au prévenu, contre-prestation qui exclurait toute confiscation, respectivement tout séquestre afin de garantir celle-ci.</w:t>
      </w:r>
    </w:p>
    <w:p>
      <w:r>
        <w:rPr>
          <w:b/>
        </w:rPr>
        <w:t>E. 4.1</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1B_426/2017 du 28 février 2018 consid. 3.1 et l'arrêt cité). Les probabilités d'une confiscation, respectivement du prononcé d'une créance compensatrice, doivent cependant se renforcer au cours de l'instruction ( ATF 122 IV 91 consid. 4 p. 96; arrêt 1B_426/2017 du 28 février 2018 consid. 3.1 et l'arrêt cité).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4.2</w:t>
      </w:r>
    </w:p>
    <w:p>
      <w:r>
        <w:t>Selon l' art. 70 al. 2 CP , la confiscation n'est pas prononcée lorsqu'un tiers a acquis les valeurs dans l'ignorance des faits qui l'auraient justifiée, et cela dans la mesure où il a fourni une contre-prestation adéquate ou si la confiscation se révèle d'une rigueur excessive.</w:t>
      </w:r>
    </w:p>
    <w:p>
      <w:r>
        <w:t>Selon la jurisprudence, les règles sur la confiscation doivent être appliquées de manière restrictive lorsque des tiers non enrichis sont concernés (arrêts 1B_426/2017 du 28 février 2018 consid. 3.2; 1B_3/2014 du 5 février 2014 consid. 3.2 publié in RtiD 2014 II 227). L'esprit et le but de la confiscation excluent en effet que la mesure puisse porter préjudice à des valeurs acquises de bonne foi dans le cadre d'un acte juridique conforme à la loi ( ATF 115 IV 175 consid. 2b/bb p. 178 s.).</w:t>
      </w:r>
    </w:p>
    <w:p>
      <w:r>
        <w:t>Les deux conditions posées à l' 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La notion de bonne foi pénale du tiers porte sur l'ignorance des faits qui justifieraient la confiscation, soit de son caractère de récompense ou de produit d'une infraction. Selon la jurisprudence, elle ne se rapporte pas à la notion civile consacrée à l' art. 3 CC . La confiscation ne peut ainsi pas être prononcée si le tiers sait simplement qu'une procédure pénale a été ouverte contre son partenaire commercial, mais ne dispose pas d'informations particulières.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La violation d'un devoir de diligence ou d'un devoir de se renseigner ne suffit pas pour exclure la bonne foi du tiers. S'agissant ensuite de la seconde condition, soit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 1B_22/2017 du 24 mars 2017 consid. 3.1 et l'arrêt cité). En particulier, elle n'est pas adéquate lorsque les valeurs patrimoniales ont été remises à titre gratuit (arrêt 1B_426/2017 du 28 février 2018 consid. 3.2 et les arrêts cités).</w:t>
      </w:r>
    </w:p>
    <w:p>
      <w:r>
        <w:rPr>
          <w:b/>
        </w:rPr>
        <w:t>E. 4.3</w:t>
      </w:r>
    </w:p>
    <w:p>
      <w:r>
        <w:t>S'agissant tout d'abord de l'existence de soupçons suffisants de la commission d'une infraction ( art. 197 al. 1 let. b CPP ), le recourant ne conteste plus le fait que le transfert des 330'000 fr. opéré par le prévenu depuis le compte de D.________ sur celui de sa société paraît avoir été effectué sans autorisation de la précitée et par le biais de faux contrats, ce qui, ainsi que l'a retenu l'autorité précédente, pourrait être constitutif des infractions réprimées par les art. 138, 146, 158 et/ou 251 CP (cf. consid. 3.3 p. 8 de l'arrêt attaqué).</w:t>
      </w:r>
    </w:p>
    <w:p>
      <w:r>
        <w:t>Le recourant soutient en revanche que ces éléments étaient connus dès 2014 et que ses avoirs n'ont pourtant été séquestrés qu'en 2017, ce qui démontrerait l'extrême faiblesse de ces soupçons et, par conséquent, la violation du principe de proportionnalité. On peine à voir en quoi cette chronologie démontrerait à elle seule dans le cas d'espèce l'insuffisance des soupçons de la commission d'infractions. Il faut d'ailleurs rappeler que les éléments susmentionnés ne semblent pas remis en cause par le prévenu. Dans la mesure où ce laps de temps n'aurait pas été utilisé afin d'établir le cheminement des avoirs litigieux, on pourrait tout au plus reprocher au Ministère public d'avoir agi tardivement, ce qui ne semble pas d'emblée contraire aux intérêts du recourant. Dénué de pertinence, ce grief peut être écarté.</w:t>
      </w:r>
    </w:p>
    <w:p>
      <w:r>
        <w:rPr>
          <w:b/>
        </w:rPr>
        <w:t>E. 4.4</w:t>
      </w:r>
    </w:p>
    <w:p>
      <w:r>
        <w:t>Lors de l'examen de l'éventuelle application de l' art. 70 al. 2 CP , la cour cantonale a estimé que le recourant avait uniquement produit des extraits de compte attestant du versement de 380'000 fr. à un notaire en lien avec un appartement sis à U.________. Elle a ensuite relevé que le prétendu prêt - certes confirmé par les déclarations du prévenu - n'avait pas été attesté par des documents écrits; or, compte tenu des rapports ténus que le recourant prétendait entretenir avec le prévenu et le montant en jeu, il paraissait surprenant qu'il n'existe pas un contrat, ou à tout le moins une reconnaissance de dette écrite. Selon la juridiction précédente, ces circonstances permettaient de considérer qu'à ce stade, la preuve de la contre-prestation adéquate n'avait pas été apportée et la probabilité d'une confiscation ou d'une allocation au lésé subsistait, ce qui justifiait le séquestre.</w:t>
      </w:r>
    </w:p>
    <w:p>
      <w:r>
        <w:t>La cour cantonale a donc en substance retenu qu'il n'existait en l'état aucun lien entre le paiement de 380'000 fr. et celui de 330'000 francs. Ce raisonnement ne peut toutefois être suivi. Certes, les circonstances entourant le premier versement - notamment sous l'angle des relations existant entre les deux intéressés et qui pourraient peut-être expliquer le défaut de forme écrite et/ou de contrôle au moment des versements de juin et décembre 2012, ce qui n'a pas été examiné - ne sont pas établies. Lors de l'examen de la condition de la contre-prestation adéquate, cela ne suffit toutefois pas pour l'exclure eu égard aux déclarations tenues par le prévenu et aux éléments apportés par pièces par le recourant. Le prévenu a ainsi expliqué, en septembre 2014, le prélèvement indu de 330'000 fr. par la nécessité de rembourser un prêt octroyé par la société du recourant afin d'acquérir un bien immobilier à U.________; ce montant a été versé en décembre 2012 sur le compte de la société du recourant. Or, ce même compte avait été débité en février 2011 de 380'000 fr. en faveur d'un notaire valaisan; le libellé de l'ordre mentionnait en particulier un appartement à U.________, ainsi que le nom du prévenu. De plus, en juin 2012, ce même compte a été crédité d'un autre montant; la somme de celui-ci et de celui de décembre 2012 correspond à quelques francs près au montant du versement initial (49'988 fr. [le 15 juin 2012] + 330'000 fr. [le 20 décembre 2012] = 379'988 fr.).</w:t>
      </w:r>
    </w:p>
    <w:p>
      <w:r>
        <w:t>Au regard de l'ensemble de ces éléments (dont les motifs invoqués, l'utilisation d'un seul et même compte du point de vue du prétendu prêteur, les montants des virements en cause, ainsi que la chronologie rapprochée de ceux-ci), un lien entre le versement de février 2011 et celui de décembre 2012 peut être retenu, le premier apparaissant comme la contre-prestation adéquate du second. La cour cantonale viole donc le droit fédéral en considérant que la preuve de celle-ci n'a pas été apportée et l'arrêt attaqué doit être annulé sur ce point.</w:t>
      </w:r>
    </w:p>
    <w:p>
      <w:r>
        <w:rPr>
          <w:b/>
        </w:rPr>
        <w:t>E. 4.5</w:t>
      </w:r>
    </w:p>
    <w:p>
      <w:r>
        <w:t>L' art. 70 al. 2 CP présuppose encore que la personne ait été dans l'ignorance des faits qui justifieraient la confiscation. La question de la bonne foi du recourant, notamment à la réception des versements litigieux, n'a pas été examinée par l'autorité cantonale et il y a donc lieu de lui renvoyer la cause pour qu'elle procède à cet examen.</w:t>
      </w:r>
    </w:p>
    <w:p>
      <w:r>
        <w:t>Cela étant et vu la motivation brièvement retenue par l'autorité cantonale en lien avec le versement direct à la société du recourant du produit de l'infraction (cf. consid. 4.3 p. 10 de l'arrêt entrepris), il y a lieu de préciser que la condition de la bonne foi ne saurait être exclue pour ce seul motif; le type d'acquisition des valeurs patrimoniales litigieuses constitue uniquement un des critères à prendre en compte lors de cet examen (arrêt 1B_365/2012 du 10 septembre 2012 consid. 3.3 publié in SJ 2013 I 13; voir également dans ce sens, le commentaire de cet arrêt par BERNARD BERTOSSA, in SJ 2013 I 17).</w:t>
      </w:r>
    </w:p>
    <w:p>
      <w:r>
        <w:rPr>
          <w:b/>
        </w:rPr>
        <w:t>E. 5</w:t>
      </w:r>
    </w:p>
    <w:p>
      <w:r>
        <w:t>Au regard de l'issue du litige, la conclusion tendant au renvoi de la cause pour l'examen d'une éventuelle indemnité au sens de l' art. 433 CPP est sans objet.</w:t>
      </w:r>
    </w:p>
    <w:p>
      <w:r>
        <w:rPr>
          <w:b/>
        </w:rPr>
        <w:t>E. 6</w:t>
      </w:r>
    </w:p>
    <w:p>
      <w:r>
        <w:t>Le recours est partiellement admis. L'arrêt attaqué est annulé dans la mesure où il considère que le recourant n'a pas apporté la preuve d'une contre-prestation adéquate et la cause est renvoyée à l'autorité précédente pour qu'elle examine l'éventuelle réalisation de la seconde condition posée à l' art. 70 al. 2 CP . Dans l'intervalle, le séquestre des 330'000 fr. détenus sur le compte du recourant auprès de la banque B.________ SA est maintenu.</w:t>
      </w:r>
    </w:p>
    <w:p>
      <w:r>
        <w:t>Le recourant obtient partiellement gain de cause avec l'assistance d'un avocat. Il a droit à des dépens à la charge de la République et canton de Genève ( art. 68 al. 1 LTF ); dès lors que le recours est admis sur la question principale, il n'y a pas lieu de réduire cette indemnité. Pour ce même motif notamment, il n'y a pas lieu de percevoir de frais judiciaires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