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269/2016 vom 25. Juli 2016</w:t>
      </w:r>
    </w:p>
    <w:p>
      <w:r>
        <w:t>Bundesgericht, 2016-07-25, DE</w:t>
      </w:r>
    </w:p>
    <w:p>
      <w:r>
        <w:rPr>
          <w:b/>
        </w:rPr>
        <w:t xml:space="preserve">Quelle: </w:t>
      </w:r>
      <w:r>
        <w:t>https://mcp.opencaselaw.ch/entscheid/bger_1B_269_2016</w:t>
      </w:r>
    </w:p>
    <w:p>
      <w:r>
        <w:t>FR: TF 1B 269/2016 du 25 juillet 2016</w:t>
      </w:r>
    </w:p>
    <w:p>
      <w:r>
        <w:t>IT: TF 1B 269/2016 del 25 luglio 2016</w:t>
      </w:r>
    </w:p>
    <w:p>
      <w:pPr>
        <w:pStyle w:val="Heading2"/>
      </w:pPr>
      <w:r>
        <w:t>Regeste</w:t>
      </w:r>
    </w:p>
    <w:p>
      <w:r>
        <w:t>Strafverfahren; amtliche Verteidigung | Strafprozess</w:t>
      </w:r>
    </w:p>
    <w:p>
      <w:pPr>
        <w:pStyle w:val="Heading2"/>
      </w:pPr>
      <w:r>
        <w:t>Erwägungen</w:t>
      </w:r>
    </w:p>
    <w:p>
      <w:r>
        <w:rPr>
          <w:b/>
        </w:rPr>
        <w:t>E. 1</w:t>
      </w:r>
    </w:p>
    <w:p>
      <w:r>
        <w:t>Die Staatsanwaltschaft See/Oberland verurteilte A.________ mit Strafbefehl vom 25. Januar 2016 wegen grober Verletzung der Verkehrsregeln zu 30 Tagessätzen Geldstrafe zu Fr. 30.-- (bedingt, Probezeit 2 Jahre) und zu einer Busse von Fr. 300.--.</w:t>
      </w:r>
    </w:p>
    <w:p>
      <w:r>
        <w:rPr>
          <w:b/>
        </w:rPr>
        <w:t>E. 2</w:t>
      </w:r>
    </w:p>
    <w:p>
      <w:r>
        <w:t>Mit Eingabe vom 23. Mai 2016 erhob A.________ Beschwerde gegen die Verfügung der Staatsanwaltschaft See/Oberland vom 10. Mai 2016 betreffend Wiederherstellung der Einsprachefrist und ersuchte um Bestellung eines amtlichen Verteidigers für das Beschwerdeverfahren. Die III. Strafkammer des Obergerichts des Kantons Zürich wies das Gesuch um Bestellung eines amtlichen Verteidigers mit Verfügung vom 16. Juni 2016 ab und stellte der Staatsanwaltschaft See/Oberland die Beschwerdeschrift zur Stellungnahme innert 10 Tagen zu. Zur Begründung führte sie zusammenfassend aus, dass es vorliegend um einen Bagatellfall im Sinne von Art. 132 Abs. 3 StPO gehe. Auch habe ein drohender Führerausweisentzug nicht zur Folge, dass die Bestellung eines amtlichen Verteidigers geboten sei, zumal der Beschwerdeführer nicht darlege, weshalb er dringend auf ein Auto angewiesen sei. Schliesslich sei die Stellung eines Fristwiederherstellungsgesuchs nicht komplex und erfordere keine Bestellung eines amtlichen Verteidigers.</w:t>
      </w:r>
    </w:p>
    <w:p>
      <w:r>
        <w:rPr>
          <w:b/>
        </w:rPr>
        <w:t>E. 3</w:t>
      </w:r>
    </w:p>
    <w:p>
      <w:r>
        <w:t>A.________ führt mit Eingabe vom 19. Juli 2016 Beschwerde in Strafsachen gegen die Verfügung der III. Strafkammer des Obergerichts des Kantons Zürich.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vermag mit seinen Ausführungen nicht aufzuzeigen, dass die III. Strafkammer des Obergerichts des Kantons Zürich mit der Abweisung des Gesuchs um Bestellung eines amtlichen Verteidigers Recht verletzt hätte. Aus seinen Ausführungen ergibt sich nicht, inwiefern die Begründung der Strafkammer bzw. deren Verfügung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