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1B_269/2011 vom 20. Juni 2011</w:t>
      </w:r>
    </w:p>
    <w:p>
      <w:r>
        <w:t>Bundesgericht, 2011-06-20, FR</w:t>
      </w:r>
    </w:p>
    <w:p>
      <w:r>
        <w:rPr>
          <w:b/>
        </w:rPr>
        <w:t xml:space="preserve">Quelle: </w:t>
      </w:r>
      <w:r>
        <w:t>https://mcp.opencaselaw.ch/entscheid/bger_1B_269_2011</w:t>
      </w:r>
    </w:p>
    <w:p>
      <w:r>
        <w:t>FR: TF 1B_269/2011 du 20 juin 2011</w:t>
      </w:r>
    </w:p>
    <w:p>
      <w:r>
        <w:t>IT: TF 1B_269/2011 del 20 giugno 2011</w:t>
      </w:r>
    </w:p>
    <w:p>
      <w:pPr>
        <w:pStyle w:val="Heading2"/>
      </w:pPr>
      <w:r>
        <w:t>Erwägungen</w:t>
      </w:r>
    </w:p>
    <w:p>
      <w:r>
        <w:rPr>
          <w:b/>
        </w:rPr>
        <w:t>E. 1</w:t>
      </w:r>
    </w:p>
    <w:p>
      <w:r>
        <w:t>La décision attaquée se rapporte à une mesure de contrainte au sens des art. 196 ss du code de procédure pénale suisse (CPP; RS 312.0). La voie du recours en matière pénal selon les art. 78 ss LTF est ouverte ( ATF 137 IV 22 consid. 1 p. 23). Dès lors que l'acte de procédure litigieux ne met pas un terme à la procédure pénale (art. 90 s. LTF), il s'agit d'une décision incidente prise séparément au sens de l' art. 93 al. 1 LTF . La décision ordonnant la détention provisoire du prévenu étant susceptible de lui causer un préjudice irréparable au sens de l' art. 93 al. 1 let. a LTF (cf. arrêt 1B_126/2011 du 6 avril 2011 consid. 1.1),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Dans un grief d'ordre formel qu'il convient d'examiner en premier lieu, le recourant se plaint d'une violation de son droit d'être entendu, au motif que la Cour de justice ne lui a pas transmis les observations qu'elle a reçues du Ministère public.</w:t>
      </w:r>
    </w:p>
    <w:p>
      <w:r>
        <w:rPr>
          <w:b/>
        </w:rPr>
        <w:t>E. 2.1</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133 I 100 consid. 4.3 ss p. 102 ss, 98 consid. 2.2 p. 99; 132 I 42 consid. 3.3.2 - 3.3.4 p. 46 s.; cf. en outre les arrêts de la Cour européenne des droits de l'homme dans les causes Schaller-Bossert c. Suisse du 28 octobre 2010 § 39 s. et Nideröst-Huber c. Suisse du 18 février 1997, Recueil CourEDH 1997-I p. 101 § 24 ss).</w:t>
      </w:r>
    </w:p>
    <w:p>
      <w:r>
        <w:rPr>
          <w:b/>
        </w:rPr>
        <w:t>E. 2.2</w:t>
      </w:r>
    </w:p>
    <w:p>
      <w:r>
        <w:t>En l'espèce, le recourant se plaint du fait que les déterminations du Ministère public devant la Cour de justice ne lui ont pas été transmises, de sorte qu'il n'a pas eu la possibilité de se déterminer à leur sujet. Ni la Cour de justice ni le Ministère public ne contredisent cette affirmation et les éléments figurant au dossier cantonal ne permettent pas de l'infirmer. Il ressort en effet de ce dossier que, par courrier du 6 mai 2011, la Cour de justice a invité le Ministère public à présenter ses observations en quatre exemplaires dans les trois jours. Les quatre exemplaires en question - datés du 6 mai et reçus le 10 mai - figurent toujours au dossier, sans indication d'une éventuelle communication de copies au recourant. Il y a donc lieu de retenir que l'arrêt du 13 mai 2011 a été rendu sans que le prévenu n'ait eu l'occasion de se déterminer sur les observations du Ministère public, ce qui est contraire aux principes jurisprudentiels susmentionnés.</w:t>
      </w:r>
    </w:p>
    <w:p>
      <w:r>
        <w:rPr>
          <w:b/>
        </w:rPr>
        <w:t>E. 2.3</w:t>
      </w:r>
    </w:p>
    <w:p>
      <w:r>
        <w:t>Cette violation du droit d'être entendu ne peut pas être guérie devant le Tribunal fédéral en l'occurrence, ne serait-ce que parce qu'il ne revoit pas librement les faits ( art. 97 et 105 LTF ; ATF 133 I 201 consid. 2.2 p. 204; 132 V 387 consid. 5.1 p. 390 et les références citées). Le recours doit donc être admis pour ce motif, sans qu'il soit nécessaire d'examiner les autres griefs soulevés par le recourant (cf. ATF 132 V 387 consid. 5.1 p. 390).</w:t>
      </w:r>
    </w:p>
    <w:p>
      <w:r>
        <w:rPr>
          <w:b/>
        </w:rPr>
        <w:t>E. 3</w:t>
      </w:r>
    </w:p>
    <w:p>
      <w:r>
        <w:t>Il s'ensuit que le recours doit être admis partiellement et l'arrêt attaqué annulé. La cause est renvoyée à la Cour de justice pour pour qu'elle rende, à brève échéance, une nouvelle décision prise dans le respect du droit à la réplique défini ci-dessus. L'admission du recours pour ce motif formel n'a évidemment pas pour conséquence la mise en liberté immédiate du recourant (cf. ATF 116 Ia 60 consid. 3b p. 64; 115 Ia 293 consid. 5g p. 308; 114 Ia 88 consid. 5d p. 93). La conclusion en ce sens doit donc être rejetée. Il n'y a pas lieu de percevoir de frais judiciaires ( art. 66 al. 4 LTF ). L'Etat de Genève versera en revanche une indemnité de dépens au recourant, qui obtient gain de cause avec l'assistance d'un avocat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