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268/2021 vom 29. Juni 2021</w:t>
      </w:r>
    </w:p>
    <w:p>
      <w:r>
        <w:t>Bundesgericht, 2021-06-29, FR</w:t>
      </w:r>
    </w:p>
    <w:p>
      <w:r>
        <w:rPr>
          <w:b/>
        </w:rPr>
        <w:t xml:space="preserve">Quelle: </w:t>
      </w:r>
      <w:r>
        <w:t>https://mcp.opencaselaw.ch/entscheid/bger_1B_268_2021</w:t>
      </w:r>
    </w:p>
    <w:p>
      <w:r>
        <w:t>FR: TF 1B 268/2021 du 29 juin 2021</w:t>
      </w:r>
    </w:p>
    <w:p>
      <w:r>
        <w:t>IT: TF 1B 268/2021 del 29 giugno 2021</w:t>
      </w:r>
    </w:p>
    <w:p>
      <w:pPr>
        <w:pStyle w:val="Heading2"/>
      </w:pPr>
      <w:r>
        <w:t>Regeste</w:t>
      </w:r>
    </w:p>
    <w:p>
      <w:r>
        <w:t>Conditions de la 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prononcés relatifs aux conditions de la détention provisoire ou pour des motifs de sûreté (arrêts 1B_188/2021 du 18 mai 2021 consid. 1; 1B_369/2013 du 26 février 2014 consid. 1, non publié in ATF 140 I 125 ).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Dans la mesure où la cour cantonale a examiné la licéité des conditions de la détention du recourant du 21 juillet 2020 au jour où elle a statué - le 11 mars 2021 (cf. en particulier ad consid. 2.2 p. 12, ainsi que consid. 2.3 p. 14 et 16) -, les arguments en lien avec une période subséquente, notamment au jour de l'envoi de l'arrêt rédigé (20 avril 2021 [cf. notamment ad ch. 57 s. p. 7 du recours]), sont par conséquent irrecevables. Eu égard à l'objet du litige, les conclusions en constatation sont en revanche admissibles dans la présente cause ( ATF 142 IV 245 consid. 4.1 p. 248; 141 IV 349 consid. 2.1 p. 352 s. et consid. 3.4.2 p. 356 et les arrêts cités; arrêt 1B_188/2021 du 18 mai 2021 consid. 2.1). La recevabilité du recours en matière pénale dépend également de l'existence d'un intérêt juridique actuel à l'annulation de la décision entreprise ( art. 81 al. 1 let. b LTF ). Un tel intérêt est en principe reconnu lorsque le recours tend à la constatation immédiate du caractère illicite de la détention provisoire (arrêt 1B_188/2021 du 18 mai 2021 consid. 1). Pour le surplus, le recours a été déposé en temps utile ( art. 100 al. 1 LTF ) et, partant, il y a lieu d'entrer en matière.</w:t>
      </w:r>
    </w:p>
    <w:p>
      <w:r>
        <w:rPr>
          <w:b/>
        </w:rPr>
        <w:t>E. 2</w:t>
      </w:r>
    </w:p>
    <w:p>
      <w:r>
        <w:t>Le recourant a sollicité la production de plans d'architecte des cellules occupées. Eu égard aux griefs soulevés et à l'issue du présent litige, le Tribunal fédéral s'estime suffisamment renseigné, sans qu'il soit nécessaire de définir plus précisément les mesures des cellules en cause. Partant, cette requête est rejetée.</w:t>
      </w:r>
    </w:p>
    <w:p>
      <w:r>
        <w:rPr>
          <w:b/>
        </w:rPr>
        <w:t>E. 3</w:t>
      </w:r>
    </w:p>
    <w:p>
      <w:r>
        <w:t>Invoquant en particulier les art. 3 CEDH , 7, 10 al. 3 Cst. et 3 al. 1 CPP, le recourant reproche à l'autorité précédente d'avoir nié le caractère illicite des conditions de la détention provisoire subie entre le 21 juillet 2020 et le 11 mars 2021. Le recourant se plaint en particulier d'arbitraire dans l'établissement des faits. A cet égard, il fait grief à la cour cantonale d'avoir confirmé la réduction forfaitaire de 1,5 m² effectuée par le Tmc sur les surfaces des cellules afin de tenir compte de la surface des sanitaires. Le recourant soutient également que les mesures des cellules occupées et la durée passée dans celles-ci seraient inexactes.</w:t>
      </w:r>
    </w:p>
    <w:p>
      <w:r>
        <w:rPr>
          <w:b/>
        </w:rPr>
        <w:t>E. 3.1</w:t>
      </w:r>
    </w:p>
    <w:p>
      <w:r>
        <w:t>L' art. 3 CEDH prévoit que nul ne peut être soumis à la torture ni à des peines ou traitements inhumains ou dégradants. Sur le plan constitutionnel, l' art. 7 Cst. prescrit que la dignité humaine doit être respectée et protégée et, à teneur de l' art. 10 al. 3 Cst. , la torture et tout autre traitement ou peine cruels, inhumains ou dégradants sont interdits. Au niveau législatif, l' art. 3 al. 1 CPP rappelle le principe du respect de la dignité humaine. L' art. 235 CPP régit l'exécution de la détention; il pose le principe général de proportionnalité (al. 1), précisant que les cantons règlent les droits et les obligations des prévenus en détention (al. 5; sur l'exécution de la détention avant jugement, voir FREI/ZUBERBÜHLER ELSÄSSER, in DONATSCH/LIEBER/SUMMERS/WOHLERS [édit.], SK-Kommentar zur Schweizerischen Strafprozessordnung, [StPO], 3e éd. 2020, ad art. 234 et 235 CPP ; BAPTISTE VIREDAZ, in Commentaire romand, Code de procédure pénale suisse, 2e éd. 2019, ad art. 235 et 236 CPP ; MATTHIAS HÄRRI, in Basler Kommentar, Schweizerische Strafprozessordnung, 2e éd. 2014, ad art. 234 et 235 CPP ). Dans le canton de Vaud, l'art. 16 du Règlement du 28 novembre 2018 sur le statut des personnes détenues placées en établissement de détention avant jugement (RSDAJ; RS/VD 340.02.5) prévoit qu'en principe, les personnes détenues avant jugement sont logées dans des cellules individuelles (al. 1); elles n'ont pas le choix de la cellule ou du secteur dans lequel elles sont incarcérées (al. 4). A teneur de l'art. 17 RSDAJ, les personnes détenues avant jugement bénéficient d'un régime alimentaire équilibré couvrant les besoins liés, notamment, à leur sexe, leur âge, leur état de santé et la nature de leur travail (al. 1); dans la mesure du possible, il est tenu compte de leur culture et de leur religion (al. 2). Selon l'art. 20 RSDAJ, les personnes détenues avant jugement sont tenues de veiller à la propreté de leur personne, de leurs vêtements et de leur cellule (al. 1); elles ont la possibilité de se doucher au moins trois fois par semaine dans des conditions qui préservent leur intimité (al. 3). Elles ne sont pas astreintes au travail (art. 27 al. 1 RSDAJ) et, dans la mesure du possible, elles se voient offrir la possibilité de travailler (art. 27 al. 2 RSDAJ; voir également les art. 32 ss RSDAJ relatifs aux possibilités de formation). Dès le deuxième jour de leur arrivée dans l'établissement, les personnes détenues avant jugement peuvent faire une promenade quotidienne d'une heure en plein air (art. 40 al. 1 RSDAJ) et, dans la mesure du possible - et sauf prescriptions contraires du service médical -, elles peuvent pratiquer des activités sportives (art. 41 al. 1 RSDAJ), le choix de celles-ci et leur fréquence variant selon les établissements (art. 41 al. 2 RSDAJ). Elles peuvent participer aux activités récréatives organisées par l'établissement (art. 42 al. 1 RSDAJ) et ont accès à la bibliothèque de celui-ci (art. 43 al. 1 RSDAJ). L'art. 50 RSDAJ prévoit que les personnes détenues avant jugement ont accès aux soins médicaux en tout temps, dans la mesure où le service médical estime ces derniers nécessaires et dans le cadre de la convention passée avec le service (al.1); la demande de consultation peut être présentée par écrit par la personne détenue avant jugement elle-même, sous réserve des cas d'urgence avérés (al. 2); selon leur nature, les soins médicaux sont prodigués dans les établissements pénitentiaires ou dans des structures hospitalières (al. 3). Les art. 53 ss RSDAJ traitent des relations avec l'extérieur, dont les possibilités de visite. Ce règlement ne comprend en revanche aucune disposition précise concernant l'aménagement, l'équipement, la dimension des cellules ou la surface dont doit bénéficier chaque détenu à l'intérieur de celles-ci.</w:t>
      </w:r>
    </w:p>
    <w:p>
      <w:r>
        <w:rPr>
          <w:b/>
        </w:rPr>
        <w:t>E. 3.1.1</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 CPT). Le 15 décembre 2015, le CPT a édité une norme sur l'Espace vital par détenu dans les établissements pénitentiaires. Il en ressort qu'une cellule individuelle devrait mesurer 6 m² auxquels on ajouterait la superficie nécessaire à une annexe sanitaire (généralement de 1 à 2 m²) et qu'une cellule collective devrait offrir par détenu 4 m², surface augmentée de l'annexe sanitaire entièrement cloisonnée. Par ailleurs, le Comité des ministres du Conseil de l'Europe, en application de l'art. 15 (b) du Statut du Conseil de l'Europe (RS 0.192.030), a adopté le 11 janvier 2006 la Recommandation Rec (2006) 2 sur les Règles pénitentiaires européennes (ci-après : RPE), lesquelles ont été révisées et modifiées le 1er juillet 2020.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(règle 18), de l'hygiène (règle 19), de la literie (règle 20) et du régime alimentaire (règle 22) :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le chauffage et l'aération (règle 18.1). Les RPE - et a fortiori leur commentaire - n'ont valeur que de simples directives à l'intention des États membres du Conseil de l'Europe; le Tribunal fédéral en tient compte dans la concrétisation de la liberté personnelle et des autres droits fondamentaux garantis par la Constitution fédérale ( ATF 145 I 318 consid. 2.2 p. 323).</w:t>
      </w:r>
    </w:p>
    <w:p>
      <w:r>
        <w:rPr>
          <w:b/>
        </w:rPr>
        <w:t>E. 3.1.2</w:t>
      </w:r>
    </w:p>
    <w:p>
      <w:r>
        <w:t>Dans un arrêt de principe Mursic contre Croatie du 20 octobre 2016, la Grande Chambre de la Cour européenne des droits de l'homme (ci-après : CourEDH) a confirmé que l'exigence de 3 m² de surface au sol par détenu en cellule collective - à l'exclusion des installations sanitaires - demeurait la norme minimale pertinente aux fins de l'appréciation des conditions de détention au regard de l' art. 3 CEDH ; la recommandation plus sévère du CPT se justifiait dès lors que celui-ci agissait principalement en amont dans un but de prévention, démarche qui tendait de par sa nature vers un degré de protection plus élevé que celui appliqué par la CourEDH (arrêt CourEDH Mursic c. Croatie du 20 octobre 2016, requête n° 7334/13, § 110 à 115; cf. également arrêt CourEDH J.M.B. et autres contre France du 30 janvier 2020, requête no 9671/15, § 255 et 256). La CourEDH a relevé que lorsqu'un détenu dispose de plus de 4 m² d'espace personnel, ce facteur, en lui-même, ne pose pas de problème au regard de l' art. 3 CEDH (arrêt CourEDH J.M.B. et autres contre France du 30 janvier 2020, requête n° 9671/15, § 256; cf. également arrêt 1B_377/2020 du 2 décembre 2020 consid. 2.1.3).</w:t>
      </w:r>
    </w:p>
    <w:p>
      <w:r>
        <w:rPr>
          <w:b/>
        </w:rPr>
        <w:t>E. 3.1.3</w:t>
      </w:r>
    </w:p>
    <w:p>
      <w:r>
        <w:t>S'agissant de l'espace au sol, le Tribunal fédéral a jugé qu'en cas de surpopulation carcérale telle que la connaissait la prison de Champ-Dollon, l'occupation d'une cellule dite individuelle par trois détenus - chacun disposant d'un espace individuel de 4 m²,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(i) une surface individuelle inférieure à 3,83 m² - restreinte encore par le mobilier - peut constituer une violation de l' art. 3 CEDH (ii) si elle s'étend sur une longue période et (iii)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 ATF 140 I 125 consid. 3.6.3 p. 139 s.; arrêt 1B_377/2020 du 2 décembre 2020 consid. 2.1.2 et les arrêts cités). A titre d'exemples lorsque la cellule ne permet qu'une surface individuelle inférieure à 4 m² et que la détention subie a duré plus de trois mois, la possibilité de sortir de la cellule, (a) entre 1 heure et 5 heures 45 par jour une semaine sur deux lorsque la détention est de 328 jours (arrêt 1B_239/2015 du 29 septembre 2015 consid. 2.5.2 et 2.5.3) ou (b) entre 3 heures 30 et 5 heures 30 par jour si elle a duré 635 jours (arrêt 1B_84/2016 du 27 juillet 2016 consid. 2.4) ne suffit pas en soi, dans la situation telle que décrite précédemment de la prison de Champ-Dollon, à rendre ces conditions de détention conformes à l' art. 3 CEDH . En revanche, dans la même configuration spatiale, le Tribunal fédéral a jugé que le fait de passer, (c) durant 114 jours, entre 4 heures 30 et 7 heures 15 par jour hors de la cellule (arrêt 1B_394/2016 du 25 avril 2017 consid. 2.4), respectivement (d) durant 201 jours 5 heures en moyenne hors de la cellule chaque semaine (arrêt 6B_1085/2016 du 28 août 2017 consid. 3.2), réduisait de manière significative le confinement en cellule et permettait de considérer que la détention dans de telles conditions ne constituait pas un traitement dégradant portant atteinte à la dignité humaine. Il en allait de même en cas de possibilités de sortie d'au moins 5 heures en moyenne par jour durant cinq mois en présence de circonstances aggravantes (toilettes séparées uniquement par un rideau ignifuge et isolation thermique mauvaise; arrêt 1B_377/2020 du 2 décembre 2020 consid. 2.2). Dans l'hypothèse d'une cellule permettant une surface individuelle de 4,36 m², le Tribunal fédéral a cependant constaté que le maintien dans une telle cellule pendant près de 9 mois ne dispensait pas l'autorité cantonale d'examiner, le cas échéant, si d'autres conditions matérielles de la détention pourraient être constitutives d'une violation de l' art. 3 CEDH (cf. notamment les inondations d'excrément et de papier WC, l'absence d'aération des cellules, les promenades trop peu nombreuses alléguées); dans une telle configuration, il était également nécessaire de connaître le temps que le recourant passait hors de sa cellule, respectivement seul dans la cellule commune (arrêt 1B_330/2020 du 2 décembre 2020 consid. 4.3 et 4.4).</w:t>
      </w:r>
    </w:p>
    <w:p>
      <w:r>
        <w:rPr>
          <w:b/>
        </w:rPr>
        <w:t>E. 3.2</w:t>
      </w:r>
    </w:p>
    <w:p>
      <w:r>
        <w:t>En l'espèce, le recourant ne conteste pas avoir passé 4 jours - entre le 21 et le 24 juillet 2020, seul, dans la cellule double n° 324, y disposant de 7,97 m². Il ne remet pas non plus en cause la durée retenue par l'autorité précédente pour le temps passé dans la cellule double n° 331, soit 5 jours entre le 24 et le 28 juillet 2020. Si la surface individuelle à sa disposition durant cette deuxième période était inférieure à 4 m², cette très brève durée, même en présence d'éventuelles circonstances aggravantes, suffit pour considérer que les conditions de la détention provisoire n'étaient pas illicites. Pour ces deux périodes extrêmement brèves, il n'est ainsi pas nécessaire d'examiner plus en avant si la cour cantonale pouvait, sans violer l'interdiction de l'arbitraire, confirmer la réduction forfaitaire de 1,5 m² pour les sanitaires telle qu'effectuée par le Tmc ou si les mesures des cellules retenues étaient erronées. S'agissant de la cellule quadruple n° 336 - où le recourant a été détenu entre le 28 juillet 2020 et le 9 janvier 2021 (environ 5 mois [cf. consid. 2.3 p. 14 de l'arrêt attaqué]) -, il reprend mot à mot les arguments soulevés devant l'instance précédente pour contester les mensurations retenues (cf. ad ch. 17 et 24 à 26 p. 3 s. du recours cantonal et ad ch. 29 et 35 à 37 p. 5 s. du mémoire fédéral), ce qui est contraire à ses obligations en matière de motivation ( art. 42 al. 2 LTF ). En tout état de cause, la cour cantonale a écarté à juste titre le grief en lien avec l'épaisseur des murs, retenant notamment que les mesures étaient prises depuis ceux-ci et non ceux-ci compris; il ne saurait d'ailleurs être déduit de la mention des mensurations sur l'extérieur du schéma fourni par la direction de la prison - à des fins vraisemblablement de lisibilité - que certaines indications comprendraient l'intérieur des murs. Le recourant prétend encore qu'il ne disposerait pas de l'ensemble des mesures lui permettant, le cas échéant, d'appliquer le théorème de Pythagore préconisé par la cour cantonale pour calculer les angles des parois obliques (cf. ad ch. 22 du recours); il n'étaye cependant pas ses allégations, notamment par la production d'une figure de la cellule n° 336 où serai (en) t indiqué (s) le (s) élément (s) lui faisant défaut pour effectuer des vérifications, défaut d'indication qu'avait au demeurant déjà constaté l'autorité précédente (cf. consid. 2.2 p. 13 de la décision entreprise). Faute de motivation, il n'apparaît ainsi pas arbitraire de la part de la cour cantonale d'avoir fondé son raisonnement sur la surface retenue par le Tmc à la suite du rapport de la direction de la prison, soit 5,825 m² pour la cellule n° 336. Le recourant ne développe ensuite aucune argumentation spécifique afin de démontrer que, malgré la surface à disposition (supérieure à 4 m², y compris si une déduction de 2 m² avait été retenue pour la surface des sanitaires), les conditions de détention dans cette cellule - qui offre en outre des toilettes séparées - seraient illicites en raison d'autres circonstances aggravantes. Les griefs concernant cette cellule peuvent ainsi être rejetés dans la mesure où ils sont recevables. Quant à la dernière période - du 9 janvier au 11 mars 2021 (62 jours) - dans la cellule double n° 333, le recourant conteste les mensurations retenues, soutenant notamment en substance que la surface serait la même que celle de la cellule n° 331 et donc inférieure à 4 m2. Indépendamment de la surface effective de la cellule et/ou de la réduction opérée eu égard aux sanitaires, la durée de cette période - inférieure à trois mois au jour de l'arrêt attaqué - permet de considérer que d'éventuelles conditions illicites de détention ne se sont pas étendues sur une longue période. Cela étant, il n'est pas non plus d'emblée exclu que les conditions de détention puissent être illicites en raison d'autres éléments. En l'occurrence, le temps de confinement en cellule important ne peut être ignoré (a priori entre 22 heures à 23 heures en moyenne par jour vu l'absence de travail). Le recourant ne conteste toutefois pas les possibilités - en sus de la promenade quotidienne d'une heure et des quatre opportunités hebdomadaires de sport (une heure ou 45 minutes par séance) - de sorties pour se doucher, de passer des appels téléphoniques et/ou de recevoir des visites (cf. consid. 2.3 p. 14 de l'arrêt attaqué), respectivement de participer à des activités socio-éducatives et/ou de se rendre à la bibliothèque (cf. le rapport du 29 octobre 2020). L'autorité précédente a également relevé le défaut d'explication quant aux souffrances concrètement ressenties (durée, fréquence, intensité), considérant dès lors, à juste titre, que le recourant ne pouvait se prévaloir de manière générale de toutes les circonstances possibles et imaginables afin de démontrer que la détention aurait été rendue plus pénible (notamment en raison de l'invocation de problèmes liés à la température, à l'aération, aux éclairages, à la ventilation, au suivi médical, à l'accès au lit superposé, à l'absence de détecteur d'incendie, au refus de donner des gants et du matériel de nettoyage et au refus d'un régime alimentaire [cf. consid. 2.3 p. 14 s. de la décision entreprise]); le recourant ne développe d'ailleurs aucune argumentation tendant à remettre en cause ces constatations. On ne saurait ainsi considérer que ces éventuelles circonstances aggravantes - y compris celles reconnues s'agissant de la prison de Bois-Mermet (cf. notamment le rideau ignifuge; arrêt 1B_377/2020 du 2 décembre 2020 consid. 2.2) - atteindraient donc une telle intensité que les conditions de détention durant moins de trois mois au jour de la décision entreprise constitueraient en l'occurrence un traitement inhumain et dégradant contraire à l' art. 3 CEDH . Il découle des considérations précédentes que les conditions de la détention provisoire du recourant depuis le 21 juillet 2020 au 11 mars 2021 n'étaient pas illicites.</w:t>
      </w:r>
    </w:p>
    <w:p>
      <w:r>
        <w:rPr>
          <w:b/>
        </w:rPr>
        <w:t>E. 4</w:t>
      </w:r>
    </w:p>
    <w:p>
      <w:r>
        <w:t>Il s'ensuit que le recours est rejeté dans la mesure où il est recevable. Le recourant a demandé l'octroi de l'assistance judiciaire ( art. 64 al. 1 LTF ). Le recours n'étant pas d'emblée dénué de chance de succès, cette requête doit être admise. Il y a lieu de désigner Me Lauris Loat comme avocat d'office et d'allouer à celui-ci une indemnité à titre d'honoraires, à payer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