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1B_267/2012 vom 9. Mai 2012</w:t>
      </w:r>
    </w:p>
    <w:p>
      <w:r>
        <w:t>Bundesgericht, 2012-05-09, DE</w:t>
      </w:r>
    </w:p>
    <w:p>
      <w:r>
        <w:rPr>
          <w:b/>
        </w:rPr>
        <w:t xml:space="preserve">Quelle: </w:t>
      </w:r>
      <w:r>
        <w:t>https://mcp.opencaselaw.ch/entscheid/bger_1B_267_2012</w:t>
      </w:r>
    </w:p>
    <w:p>
      <w:r>
        <w:t>FR: TF 1B_267/2012 du 9 mai 2012</w:t>
      </w:r>
    </w:p>
    <w:p>
      <w:r>
        <w:t>IT: TF 1B_267/2012 del 9 maggio 2012</w:t>
      </w:r>
    </w:p>
    <w:p>
      <w:pPr>
        <w:pStyle w:val="Heading2"/>
      </w:pPr>
      <w:r>
        <w:t>Erwägungen</w:t>
      </w:r>
    </w:p>
    <w:p>
      <w:r>
        <w:rPr>
          <w:b/>
        </w:rPr>
        <w:t>E. 1</w:t>
      </w:r>
    </w:p>
    <w:p>
      <w:r>
        <w:t>Die Regionale Staatsanwaltschaft Bern-Mittelland nahm mit Verfügung vom 5. März 2012 die Anzeige von X.________ gegen Oberrichterin A.________, Oberrichter B.________, Obergerichtssuppleant C.________ und Gerichtspräsident D.________ nicht an die Hand. Dagegen erhob X.________ Beschwerde, auf welche die Beschwerdekammer in Strafsachen des Obergerichts des Kantons Bern mit Beschluss vom 5. April 2012 wegen Prozessunfähigkeit nicht eintrat. Zur Begründung führte die Beschwerdekammer zusammenfassend aus, dass dem Beschwerdeführer in einem Strafverfahren gegen Beamte oder Behördenmitglieder bereits mit Entscheid der damaligen Anklagekammer vom 18. Januar 2010 die Prozessfähigkeit aberkannt worden sei. Im Entscheid vom 3. August 2011 habe die Beschwerdekammer ausgeführt, dass ein grosser Anteil der vom Beschwerdeführer in den letzten Jahren eingereichten Strafanzeigen gegen Beamte oder Behördenmitglieder gerichtet waren, welche nicht genau in seinem Sinne entschieden hatten. Die Kammer werde in ähnlichen Fällen die Prozessfähigkeit erneut prüfen. Im vorliegenden Fall sei die Konstellation der Prozessunfähigkeit erneut gegeben, weil der Beschwerdeführer wiederum richterliche Entscheidungen in Straftaten umfunktionieren wolle. Soweit der Beschwerdeführer geltend mache, dass gegen Staatsanwalt E.________ noch diverse Ausstandsverfahren hängig seien, könne auf Art. 59 Abs. 3 StPO verwiesen werden. Schliesslich sei darauf hinzuweisen, dass es keinen Anlass gebe, die Strafanzeige gegen Staatsanwalt E.________ an die Kantonale Staatsanwaltschaft weiterzuleiten, da Staatsanwalt E.________ mit dem Erlass der Nichtanhandnahmeverfügung vom 5. März 2012 keine Straftaten begangen habe.</w:t>
      </w:r>
    </w:p>
    <w:p>
      <w:r>
        <w:rPr>
          <w:b/>
        </w:rPr>
        <w:t>E. 2</w:t>
      </w:r>
    </w:p>
    <w:p>
      <w:r>
        <w:t>X.________ führt mit Eingabe vom 5. Mai 2012 (Postaufgabe 7. Mai 2012)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vermag mit seinem Hinweis auf ein Urteil des Regionalgerichts Berner Jura-Seeland, mit welchem ein gegen ihn gerichtetes Entmündigungsbegehren abgewiesen wurde, nicht aufzuzeigen, inwiefern ihm die Beschwerdekammer in rechts- bzw. verfassungswidriger Weise die Prozessfähigkeit abgesprochen haben sollte. Aus den Ausführungen des Beschwerdeführers ergibt sich nicht, weshalb die Begründung des angefochtenen Beschlusses bzw. der Beschluss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