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1B_265/2019 vom 3. Juni 2019</w:t>
      </w:r>
    </w:p>
    <w:p>
      <w:r>
        <w:t>Bundesgericht, 2019-06-03, DE</w:t>
      </w:r>
    </w:p>
    <w:p>
      <w:r>
        <w:rPr>
          <w:b/>
        </w:rPr>
        <w:t xml:space="preserve">Quelle: </w:t>
      </w:r>
      <w:r>
        <w:t>https://mcp.opencaselaw.ch/entscheid/bger_1B_265_2019</w:t>
      </w:r>
    </w:p>
    <w:p>
      <w:r>
        <w:t>FR: TF 1B_265/2019 du 3 juin 2019</w:t>
      </w:r>
    </w:p>
    <w:p>
      <w:r>
        <w:t>IT: TF 1B_265/2019 del 3 giugno 2019</w:t>
      </w:r>
    </w:p>
    <w:p>
      <w:pPr>
        <w:pStyle w:val="Heading2"/>
      </w:pPr>
      <w:r>
        <w:t>Erwägungen</w:t>
      </w:r>
    </w:p>
    <w:p>
      <w:r>
        <w:rPr>
          <w:b/>
        </w:rPr>
        <w:t>E. 1</w:t>
      </w:r>
    </w:p>
    <w:p>
      <w:r>
        <w:t>Vor dem Regionalgericht Bern-Mittelland ist ein Strafverfahren gegen A.________ wegen einer Parkwiderhandlung hängig. Das Regionalgericht stellte mit prozessleitender Verfügung vom 19. März 2019 fest, dass der Strafbefehl und die Einsprache als gültig erachtet werde. Dagegen erhob A.________ mit Eingaben vom 24. März 2019 sowie 2. und 19. April 2019 Beschwerde. Die Beschwerdekammer in Strafsachen des Obergerichts des Kantons Bern trat mit Beschluss vom 24. April 2019 auf die Beschwerde nicht ein. Zur Begründung führte die Beschwerdekammer zusammenfassend aus, dass es an einem tauglichen Anfechtungsobjekt fehle. Prozessleitende Verfügungen im Sinne von Art. 393 Abs. 1 lit. b zweiter Satzteil StPO seien nicht beschwerdefähig. Der Antrag auf Verfahrenseinstellung liege ausserhalb des Streitgegenstandes.</w:t>
      </w:r>
    </w:p>
    <w:p>
      <w:r>
        <w:rPr>
          <w:b/>
        </w:rPr>
        <w:t>E. 2</w:t>
      </w:r>
    </w:p>
    <w:p>
      <w:r>
        <w:t>A.________ führt mit Eingabe vom 21. Mai 2019 (Postaufgabe 29. Mai 2019)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vermag mit ihren nicht sachbezogenen Ausführungen nicht aufzuzeigen, dass die Beschwerdekammer bei der Behandlung der Beschwerde Recht im Sinne von Art. 42 Abs. 2 BGG verletzt hätte. Die Beschwerdeführerin legt nicht dar, inwiefern die von der Beschwerdekammer angeführten Nichteintretensgründen rechts- bzw. verfassungswidrig sein sollten. Aus ihrer Beschwerde ergibt sich somit nicht, dass die Begründung der Beschwerdekammer bzw. deren Beschluss selbst rechts- bzw. verfassungswidrig wäre. Die Beschwerde genügt den gesetzlichen Formerfordernissen offensichtlich nicht, weshalb auf sie im vereinfachten Verfahren nach Art. 108 Abs. 1 BGG nicht einzutreten ist.</w:t>
      </w:r>
    </w:p>
    <w:p>
      <w:r>
        <w:t>Somit kann offenbleiben, ob es sich beim angefochtenen Beschluss überhaupt um einen anfechtbaren Zwischenentscheid im Sinne von Art. 93 Abs. 1 BGG handelt.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