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1B_265/2018 vom 20. September 2018</w:t>
      </w:r>
    </w:p>
    <w:p>
      <w:r>
        <w:t>Bundesgericht, 2018-09-20, DE</w:t>
      </w:r>
    </w:p>
    <w:p>
      <w:r>
        <w:rPr>
          <w:b/>
        </w:rPr>
        <w:t xml:space="preserve">Quelle: </w:t>
      </w:r>
      <w:r>
        <w:t>https://mcp.opencaselaw.ch/entscheid/bger_1B_265_2018</w:t>
      </w:r>
    </w:p>
    <w:p>
      <w:r>
        <w:t>FR: TF 1B_265/2018 du 20 septembre 2018</w:t>
      </w:r>
    </w:p>
    <w:p>
      <w:r>
        <w:t>IT: TF 1B_265/2018 del 20 settembre 2018</w:t>
      </w:r>
    </w:p>
    <w:p>
      <w:pPr>
        <w:pStyle w:val="Heading2"/>
      </w:pPr>
      <w:r>
        <w:t>Erwägungen</w:t>
      </w:r>
    </w:p>
    <w:p>
      <w:r>
        <w:rPr>
          <w:b/>
        </w:rPr>
        <w:t>E. 1</w:t>
      </w:r>
    </w:p>
    <w:p>
      <w:r>
        <w:t>Angefochten ist ein kantonal letztinstanzlicher Entscheid, mit dem das Kantonsgericht die Beschwerde eines Privatklägers gegen die Sistierung des Strafverfahrens als gegenstandslos geworden kostenfällig abgeschrieben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legt unter Verletzung seiner gesetzlichen Begründungspflicht nicht dar, inwiefern ihm durch die angefochtene Kostenauflage ein irreversibler Nachteil rechtlicher Natur entstehen könnte, und das ist auch nicht ersichtlich. Die (ungerechtfertigte) Verurteilung zu Gerichtskosten kann im Zusammenhang mit dem Entscheid in der Hauptsache angefochten werden. Die blosse Verzögerung oder Verteuerung des Verfahrens genügt generell nicht, um einen sofortigen Entscheid des Bundesgerichts zu erwirken ( BGE 136 II 165 E 1.2.1 S. 170). Dieses soll sich nach Möglichkeit nur einmal mit einer Sache befassen müssen. Wird wie hier allein die Kostenregelung eines strafprozessualen Zwischenentscheids angefochten, ist auf die Beschwerde nicht einzutreten, weil sie keinen nicht wieder gutzumachenden Nachteil rechtlicher Natur bewirken kann (Urteil 1B_233/2012 vom 21. August 2012).</w:t>
      </w:r>
    </w:p>
    <w:p>
      <w:r>
        <w:rPr>
          <w:b/>
        </w:rPr>
        <w:t>E. 3</w:t>
      </w:r>
    </w:p>
    <w:p>
      <w:r>
        <w:t>Da der Begründungsmangel offensichtlich ist, kann die Beschwerde im vereinfachten Verfahren nach Art. 108 BGG beurteilt werden. Auf die Erhebung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