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265/2011 vom 22. Juli 2011</w:t>
      </w:r>
    </w:p>
    <w:p>
      <w:r>
        <w:t>Bundesgericht, 2011-07-22, DE</w:t>
      </w:r>
    </w:p>
    <w:p>
      <w:r>
        <w:rPr>
          <w:b/>
        </w:rPr>
        <w:t xml:space="preserve">Quelle: </w:t>
      </w:r>
      <w:r>
        <w:t>https://mcp.opencaselaw.ch/entscheid/bger_1B_265_2011</w:t>
      </w:r>
    </w:p>
    <w:p>
      <w:r>
        <w:t>FR: TF 1B 265/2011 du 22 juillet 2011</w:t>
      </w:r>
    </w:p>
    <w:p>
      <w:r>
        <w:t>IT: TF 1B 265/2011 del 22 luglio 2011</w:t>
      </w:r>
    </w:p>
    <w:p>
      <w:pPr>
        <w:pStyle w:val="Heading2"/>
      </w:pPr>
      <w:r>
        <w:t>Regeste</w:t>
      </w:r>
    </w:p>
    <w:p>
      <w:r>
        <w:t>Strafverfahren; Nichtanhandnahmeverfügung | Strafprozess</w:t>
      </w:r>
    </w:p>
    <w:p>
      <w:pPr>
        <w:pStyle w:val="Heading2"/>
      </w:pPr>
      <w:r>
        <w:t>Erwägungen</w:t>
      </w:r>
    </w:p>
    <w:p>
      <w:r>
        <w:rPr>
          <w:b/>
        </w:rPr>
        <w:t>E. 1.1</w:t>
      </w:r>
    </w:p>
    <w:p>
      <w:r>
        <w:t>Der angefochtene Rückweisungsentscheid schliesst das Strafverfahren nicht ab. Es handelt sich um einen strafprozessualen Zwischenentscheid im Sinne von Art. 78 Abs. 1 und Art. 80 Abs. 1 i.V.m. Art. 93 BGG .</w:t>
      </w:r>
    </w:p>
    <w:p>
      <w:r>
        <w:rPr>
          <w:b/>
        </w:rPr>
        <w:t>E. 1.2</w:t>
      </w:r>
    </w:p>
    <w:p>
      <w:r>
        <w:t>Sofern die Sachurteilsvoraussetzungen nicht ohne Weiteres aus den Akten ersichtlich werden, obliegt es grundsätzlich der beschwerdeführenden Partei darzulegen, inwiefern sie erfüllt sind (vgl. BGE 133 II 249 E. 1.1 S. 251, 353 E. 1 S. 356).</w:t>
      </w:r>
    </w:p>
    <w:p>
      <w:r>
        <w:rPr>
          <w:b/>
        </w:rPr>
        <w:t>E. 1.3</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w:t>
      </w:r>
    </w:p>
    <w:p>
      <w:r>
        <w:rPr>
          <w:b/>
        </w:rPr>
        <w:t>E. 1.4</w:t>
      </w:r>
    </w:p>
    <w:p>
      <w:r>
        <w:t>Die beschwerdeführende Staatsanwaltschaft äussert sich zur Frage der Sachurteilsvoraussetzung von Art. 93 Abs. 1 lit. a BGG nicht. Ein nicht wieder gutzumachender Rechtsnachteil im Sinne der dargelegten Praxis ist hier nicht ersichtlich. Insbesondere fiele eine blosse Verlängerung oder Verteuerung des Verfahrens nicht darunter ( BGE 133 IV 139 E. 4 S. 141 mit Hinweisen). Damit erweist sich die Beschwerde als nicht zulässig. Die Prüfung allfälliger weiterer Eintretenshindernisse erübrigt sich im vorliegenden Fall.</w:t>
      </w:r>
    </w:p>
    <w:p>
      <w:r>
        <w:rPr>
          <w:b/>
        </w:rPr>
        <w:t>E. 2</w:t>
      </w:r>
    </w:p>
    <w:p>
      <w:r>
        <w:t>Auf die Beschwerde ist nicht einzutreten. Gerichtskosten sind nicht zu erheben ( Art. 66 Abs. 4 BGG ). Hingegen ist der anwaltlich vertretenen privaten Beschwerdegegnerin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