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1B_265/2009 vom 25. Januar 2010</w:t>
      </w:r>
    </w:p>
    <w:p>
      <w:r>
        <w:t>Bundesgericht, 2010-01-25, DE</w:t>
      </w:r>
    </w:p>
    <w:p>
      <w:r>
        <w:rPr>
          <w:b/>
        </w:rPr>
        <w:t xml:space="preserve">Quelle: </w:t>
      </w:r>
      <w:r>
        <w:t>https://mcp.opencaselaw.ch/entscheid/bger_1B_265_2009</w:t>
      </w:r>
    </w:p>
    <w:p>
      <w:r>
        <w:t>FR: TF 1B_265/2009 du 25 janvier 2010</w:t>
      </w:r>
    </w:p>
    <w:p>
      <w:r>
        <w:t>IT: TF 1B_265/2009 del 25 gennaio 2010</w:t>
      </w:r>
    </w:p>
    <w:p>
      <w:pPr>
        <w:pStyle w:val="Heading2"/>
      </w:pPr>
      <w:r>
        <w:t>Erwägungen</w:t>
      </w:r>
    </w:p>
    <w:p>
      <w:r>
        <w:rPr>
          <w:b/>
        </w:rPr>
        <w:t>E. 1</w:t>
      </w:r>
    </w:p>
    <w:p>
      <w:r>
        <w:t>Angefochten ist ein Entscheid der Beschwerdekammer des Bundesstrafgerichts über die Zulässigkeit einer Zwangsmassnahme. Dagegen steht grundsätzlich die Beschwerde ans Bundesgericht offen ( Art. 79 BGG ).</w:t>
      </w:r>
    </w:p>
    <w:p>
      <w:r>
        <w:rPr>
          <w:b/>
        </w:rPr>
        <w:t>E. 1.1</w:t>
      </w:r>
    </w:p>
    <w:p>
      <w:r>
        <w:t>Entsiegelungsentscheide werden in der Regel als Zwischenentscheide betrachtet, da damit das Strafverfahren gegen Angeschuldigte nicht abgeschlossen wird (Urteil 1B_206/2007 vom 7. Januar 2008 E. 3.2). Zwischenentscheide sind nur ausnahmsweise anfechtbar, namentlich wenn sie einen nicht wieder gutzumachender Nachteil bewirken können ( Art. 93 Abs. 1 lit. a BGG ). Diese Voraussetzung ist bei Entscheiden über die Entsiegelung und Durchsuchung von Dokumenten zu Ermittlungs- und Beweiszwecken regelmässig erfüllt (Urteil 1B_208/2007 vom 23. Januar 2008 E. 1.3, in: Praxis 2008 Nr. 61 S. 409). Art. 93 BGG steht vorliegend einem Eintreten nicht entgegen.</w:t>
      </w:r>
    </w:p>
    <w:p>
      <w:r>
        <w:rPr>
          <w:b/>
        </w:rPr>
        <w:t>E. 1.2</w:t>
      </w:r>
    </w:p>
    <w:p>
      <w:r>
        <w:t>Die Bundesanwaltschaft ist zur Zwangsmassnahmenbeschwerde berechtigt (Art. 81 Abs. 1 lit. a und lit. b Ziff. 3 sowie Abs. 2 BGG). Da auch die übrigen Sachurteilsvoraussetzungen vorliegen, ist auf die Beschwerde einzutreten.</w:t>
      </w:r>
    </w:p>
    <w:p>
      <w:r>
        <w:rPr>
          <w:b/>
        </w:rPr>
        <w:t>E. 2</w:t>
      </w:r>
    </w:p>
    <w:p>
      <w:r>
        <w:t>Die Bundesanwaltschaft rügt die Verletzung von Art. 69 Abs. 3 BStP und macht eine Rechtsverweigerung geltend. Die Beschwerdekammer habe das für die Entsiegelung und Durchsuchung beschlagnahmter Unterlagen nach BStP vorgesehene mehrstufige Verfahren nicht angewendet. Sie habe weder eine Triage der beschlagnahmten Unterlagen vorgenommen, noch habe sie entschieden, welche Unterlagen dem Untersuchungsrichter herauszugeben seien. Zwar habe die Beschwerdekammer das Entsiegelungsgesuch gutgeheissen, allerdings nur soweit Unterlagen vom Bundesrat "zugänglich gemacht werden". Damit überlasse die Beschwerdekammer es dem Bundesrat, die Triage vorzunehmen. Dieses Vorgehen verletze Art. 69 Abs. 3 BStP .</w:t>
      </w:r>
    </w:p>
    <w:p>
      <w:r>
        <w:t>Hinsichtlich der Unterlagen, welche das URA am 3. August 2009 unter strengen Auflagen habe einsehen können, sei das Begehren zu Unrecht als gegenstandslos geworden abgeschrieben worden: Das URA habe beantragt, der Zugang zu gewissen Dokumenten sei ohne Auflagen zu gewähren und die Unterlagen seien zu den Verfahrensakten zu nehmen. Diese Anträge seien durch die Einsichtgewährung vom 3. August 2009 nicht erledigt worden.</w:t>
      </w:r>
    </w:p>
    <w:p>
      <w:r>
        <w:t>Die Rechtsauffassung der Beschwerdekammer, wonach sie die inhaltliche Richtigkeit der Entscheidung des Bundesrates nicht überprüfen könne, führe dazu, dass das URA seinen gesetzlichen Aufgaben gemäss Art. 113 BStP nicht nachkommen könne. Die Bundesanwaltschaft verweist auf den Bericht der Geschäftsprüfungsdelegation vom 19. Januar 2009 "Fall Tinner: Rechtmässigkeit der Beschlüsse des Bundesrates und Zweckmässigkeit seiner Führung" (BBl 2009 5007 ff., Ziff. 6.4 S. 5046), wonach das Einwirken der Exekutive auf ein Strafverfahren die Gewaltenteilung und die Unabhängigkeit der Justiz infrage stellen könne. Nach Auffassung der Bundesanwaltschaft hätte die Beschwerdekammer zumindest die Verhältnismässigkeit des bundesrätlichen Entscheids prüfen müssen. Unter den Dokumenten befänden sich auch technische Zeichnungen zum Bau von Urananreicherungsanlagen, deren Besitz auch Privatpersonen ohne Weiteres erlaubt sei. Es sei daher nicht ersichtlich, warum diese Unterlagen den Strafverfolgungsbehörden und den Gerichten nicht ungehindert zur Verfügung stehen.</w:t>
      </w:r>
    </w:p>
    <w:p>
      <w:r>
        <w:rPr>
          <w:b/>
        </w:rPr>
        <w:t>E. 3.1</w:t>
      </w:r>
    </w:p>
    <w:p>
      <w:r>
        <w:t>Art. 69 BStP befindet sich im Abschnitt IX "Beschlagnahme, Durchsuchung, Einziehung und Überwachung". Es handelt sich dabei um Zwangsmassnahmen der Strafverfolgungsbehörden zur Sicherung von Beweismitteln. Art. 69 BStP bezweckt den Schutz von Privat- und Berufsgeheimnissen und sieht hierfür ein mehrstufiges Verfahren vor. Dieses soll dem Inhaber der beschlagnahmten Gegenstände Gelegenheit geben, seine Geheimhaltungsinteressen geltend zu machen und schon vor der Hauptverhandlung einen gerichtlichen Entscheid über die Zulässigkeit der Beschlagnahme und der Durchsuchung zu erreichen. Nach der bundesgerichtlichen Rechtsprechung muss das Zwangsmassnahmengericht den wirksamen Schutz der geschützten Geheimhaltungsinteressen gewährleisten und hierfür insbesondere die Triage und die allfällige Aussonderung von geheimnisgeschützten Daten selbstverantwortlich wahrnehmen (Urteil 1B_274/2008 vom 27. Januar 2009 E. 6 und 7 mit Hinweisen).</w:t>
      </w:r>
    </w:p>
    <w:p>
      <w:r>
        <w:rPr>
          <w:b/>
        </w:rPr>
        <w:t>E. 3.2</w:t>
      </w:r>
    </w:p>
    <w:p>
      <w:r>
        <w:t>Im Verhältnis zwischen Behörden des Bundes, der Kantone und der Gemeinden sieht das BStP jedoch eine andere Vorgehensweise vor: Gemäss Art. 27 Abs. 1 BStP sind die Behörden des Bundes, der Kantone und der Gemeinden verpflichtet, den mit der Verfolgung und Beurteilung von Bundesstrafsachen betrauten Behörden in der Erfüllung ihrer Aufgabe Rechtshilfe zu leisten und ihnen insbesondere die benötigten Auskünfte zu erteilen und Einsicht in amtliche Akten zu gewähren, die für die Strafverfolgung von Bedeutung sein können (Abs. 1). Die Rechtshilfe kann verweigert, eingeschränkt oder mit Auflagen versehen werden, wenn wesentliche öffentliche Interessen oder offensichtlich schutzwürdige Interessen einer betroffenen Person es verlangen (Abs. 2 lit. a) oder Berufsgeheimnisse entgegenstehen (Abs. 2 lit. b). Bei Meinungsverschiedenheiten zwischen dem Bund und den Kantonen über die Gewährung der Rechtshilfe entscheidet die Beschwerdekammer des Bundesstrafgerichts ( Art. 27 Abs. 5 BStP ); bei Meinungsverschiedenheiten innerhalb der Bundesverwaltung entscheidet das übergeordnete Departement oder der Bundesrat ( Art. 27 Abs. 5 BStP ).</w:t>
      </w:r>
    </w:p>
    <w:p>
      <w:r>
        <w:t>Zu den Rechtshilfemassnahmen i.S.v. Art. 27 Abs. 1 BStP zählen neben der Erteilung von Auskünften und der Edition oder Einsichtgewährung in amtliche Akten auch die Ermächtigung eines Behördenmitglieds oder Beamten zur Zeugenaussage oder zur Herausgabe von Amtsakten ( BGE 123 IV 157 E. 3b S. 162 und E. 4c S. 163; 129 IV 141 E. 2.1 S. 144). Art. 78 BStP sieht vor, dass ein Beamter nur mit Zustimmung seiner vorgesetzten Behörde über ein Amtsgeheimnis als Zeuge einvernommen oder zur Herausgabe von Amtsakten angehalten werden darf. Eine Durchsuchung und Beschlagnahme amtlicher Akten ohne Zustimmung oder gegen den Willen der vorgesetzten Behörde sieht das Gesetz nicht vor.</w:t>
      </w:r>
    </w:p>
    <w:p>
      <w:r>
        <w:rPr>
          <w:b/>
        </w:rPr>
        <w:t>E. 3.3</w:t>
      </w:r>
    </w:p>
    <w:p>
      <w:r>
        <w:t>Der vorliegende Fall ist allerdings kein typischer Anwendungsfall von Art. 27 BStP : Die Unterlagen wurden ursprünglich von der Bundesanwaltschaft bei den Angeschuldigten beschlagnahmt und bildeten Teil der Strafverfahrensakten. Die jetzt streitigen Aktenkopien wurden von der Bundesanwaltschaft für die Zwecke des Strafverfahrens erstellt. Die Unterlagen befanden sich also nicht von vornherein beim Bundesrat. Vielmehr zog dieser die Aktenherrschaft an sich, um eine Aktentriage durchzuführen, und gewisse Unterlagen (Atombombenpläne; Ordner 10 betr. geheimdienstliche Tätigkeiten) im Hinblick auf ihre Vernichtung dem Strafverfahren vorzuenthalten und die Konsultation anderer Unterlagen (betr. Urananreicherung) nur unter strikten Auflagen zu gestatten.</w:t>
      </w:r>
    </w:p>
    <w:p>
      <w:r>
        <w:t>Dies ändert jedoch nichts daran, dass den Strafverfolgungsbehörden für die Rückerlangung der Akten nur der Weg über die Rechtshilfe zur Verfügung stand.</w:t>
      </w:r>
    </w:p>
    <w:p>
      <w:r>
        <w:rPr>
          <w:b/>
        </w:rPr>
        <w:t>E. 4</w:t>
      </w:r>
    </w:p>
    <w:p>
      <w:r>
        <w:t>Fraglich könnte allenfalls sein, ob der Beschluss des Bundesrates vom 24. Juni 2009, der sich auf Art. 184 und 185 BV stützt, mit einem Rechtsmittel in öffentlich-rechtlichen Angelegenheiten hätte angefochten werden können.</w:t>
      </w:r>
    </w:p>
    <w:p>
      <w:r>
        <w:t>Zwar können Akte des Bundesrates gemäss Art. 189 Abs. 4 BV nur angefochten werden, wenn es das Gesetz vorsieht. Weder das VGG noch das BGG sehen die Anfechtbarkeit von Bundesratsbeschlüssen der vorliegenden Art vor. Überdies schliessen die Art. 32 Abs. 1 lit. a VGG und Art. 83 Abs. 1 lit. a BGG die Beschwerde gegen Verfügungen auf dem Gebiet der inneren und äusseren Sicherheit des Landes und der übrigen auswärtigen Angelegenheiten ausdrücklich aus.</w:t>
      </w:r>
    </w:p>
    <w:p>
      <w:r>
        <w:t>Ausnahmsweise kann es jedoch das Völkerrecht gebieten, gerichtlichen Rechtsschutz einzuräumen. So trat das Bundesgericht auf eine Beschwerde gegen einen bundesrätlichen Einziehungsentscheid ein, weil die Einziehung von Propagandamaterial aus Gründen der äusseren und inneren Sicherheit zivilrechtliche Ansprüche und Verpflichtungen im Sinne von Art. 6 Ziff. 1 EMRK berührte und deshalb gerichtlicher Rechtsschutz geboten war ( BGE 125 II 417 E. 1 4c-e S. 424 ff.). In BGE 129 II 193 erwog das Bundesgericht, auf die Beschwerde gegen ein Einreiseverbot des Bundesrates gestützt auf Art. 13 EMRK einzutreten.</w:t>
      </w:r>
    </w:p>
    <w:p>
      <w:r>
        <w:t>Nähere Ausführungen zu dieser Frage erübrigen sich jedoch im vorliegenden Fall: Der bundesrätliche Beschluss vom 24. Juni 2009 wurde in Form einer Medienmitteilung publiziert und war den Beteiligten damit zumindest in den Grundzügen bekannt. Er wurde jedoch von den Angeschuldigten nicht angefochten. Auch der Untersuchungsrichter und die Bundesanwaltschaft haben keine Beschwerde gegen diesen Beschluss erhoben; sie wären hierzu wohl auch nicht legitimiert gewesen.</w:t>
      </w:r>
    </w:p>
    <w:p>
      <w:r>
        <w:rPr>
          <w:b/>
        </w:rPr>
        <w:t>E. 5</w:t>
      </w:r>
    </w:p>
    <w:p>
      <w:r>
        <w:t>Zusammenfassend ergibt sich, dass die Beschwerde unbegründet und somit abzuweisen ist. Bei diesem Ausgang des Verfahrens sind keine Gerichtskosten zu erheben ( Art. 66 Abs. 4 BGG ).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