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264/2021 vom 19. August 2021</w:t>
      </w:r>
    </w:p>
    <w:p>
      <w:r>
        <w:t>Bundesgericht, 2021-08-19, DE</w:t>
      </w:r>
    </w:p>
    <w:p>
      <w:r>
        <w:rPr>
          <w:b/>
        </w:rPr>
        <w:t xml:space="preserve">Quelle: </w:t>
      </w:r>
      <w:r>
        <w:t>https://mcp.opencaselaw.ch/entscheid/bger_1B_264_2021</w:t>
      </w:r>
    </w:p>
    <w:p>
      <w:r>
        <w:t>FR: TF 1B 264/2021 du 19 août 2021</w:t>
      </w:r>
    </w:p>
    <w:p>
      <w:r>
        <w:t>IT: TF 1B 264/2021 del 19 agosto 2021</w:t>
      </w:r>
    </w:p>
    <w:p>
      <w:pPr>
        <w:pStyle w:val="Heading2"/>
      </w:pPr>
      <w:r>
        <w:t>Regeste</w:t>
      </w:r>
    </w:p>
    <w:p>
      <w:r>
        <w:t>Rechtsverweigerung | Strafprozess</w:t>
      </w:r>
    </w:p>
    <w:p>
      <w:pPr>
        <w:pStyle w:val="Heading2"/>
      </w:pPr>
      <w:r>
        <w:t>Erwägungen</w:t>
      </w:r>
    </w:p>
    <w:p>
      <w:r>
        <w:rPr>
          <w:b/>
        </w:rPr>
        <w:t>E. 1.1</w:t>
      </w:r>
    </w:p>
    <w:p>
      <w:r>
        <w:t>Mit dem angefochtenen Urteil befand die Rekurskommission über die gegen die Direktion erhobenen Vorwürfe der Rechtsverweigerung bzw. Rechtsverzögerung. Die Rekurskommission erliess somit keinen Endentscheid im Sinn von Art. 90 BGG , der Verfahren betreffend die Modalitäten des Strafvollzuges abschliesst. Vielmehr liegt ein Zwischenentscheid im Sinne von Art. 93 Abs. 1 BGG vor, der für den Betroffenen einen nicht wiedergutzumachenden Nachteil im Sinn von Art. 93 Abs. 1 lit. a BGG haben kann (vgl. Urteil 5A_339/2016 vom 27. Januar 2017 E. 1.1 mit Hinweis). Bei Zwischenentscheiden folgt der Rechtsweg jenem der Hauptsache ( BGE 137 III 380 E. 1.1). Diese betrifft den Vollzug einer Freiheitsstrafe, also einen Bereich, in welchem die Beschwerde in Strafsachen zur Verfügung steht (vgl. Art. 78 Abs. 2 lit. b BGG ). Die Beschwerde in Strafsachen ist damit grundsätzlich gegeben.</w:t>
      </w:r>
    </w:p>
    <w:p>
      <w:r>
        <w:rPr>
          <w:b/>
        </w:rPr>
        <w:t>E. 1.2</w:t>
      </w:r>
    </w:p>
    <w:p>
      <w:r>
        <w:t>Die beschwerdeführende Partei muss ein aktuelles praktisches Interesse an der Behandlung der Beschwerde haben. Nach der Rechtsprechung fehlt es an einem aktuellen Rechtsschutzinteresse an einer Rechtsverweigerungs- bzw. Rechtsverzögerungsbeschwerde, wenn der angeblich verweigerte oder verzögerte Entscheid in der Zwischenzeit ergangen ist ( BGE 125 V 373 E. 1 mit Hinweis; Urteil 5A_339/2016 vom 27. Januar 2017 E. 1.2 mit Hinweisen). Der Beschwerdeführer hat vorliegend schon deshalb grundsätzlich kein aktuelles Interesse an einem Entscheid betreffend die erhobenen Vorwürfe der Rechtsverweigerung bzw. Rechtsverzögerung, weil er nicht mehr in der JVA Bostadel untergebracht ist. Das Bundesgericht behandelt indes eine Beschwerde wegen Rechtsverweigerung oder Rechtsverzögerung auch bei fehlendem aktuellen Interesse, wenn die beschwerdeführende Partei hinreichend substanziiert und in vertretbarer Weise eine Verletzung der EMRK behauptet ("grief défendable"). Mit der Behandlung der Beschwerde kann zudem Art. 13 EMRK in jedem Fall Genüge getan werden ( BGE 137 I 296 E. 4 ; 136 I 274 E. 1.3; Urteil 5A_339/2016 vom 27. Januar 2017 E. 1.2; je mit Hinweisen). Der Beschwerdeführer hat im vorinstanzlichen Verfahren sinngemäss darum ersucht, die Direktion wegen Rechtsverweigerung bzw. Rechtsverzögerung zu rügen. In diesem Antrag ist allenfalls ein sich auf Art. 6 Ziff. 1 EMRK stützendes Begehren um Feststellung der geltend gemachten Verfahrensmängel zu erblicken. Ein entsprechendes Begehren stellt der Beschwerdeführer sinngemäss auch vor dem Bundesgericht. Vor diesem Hintergrund ist auf das Erfordernis des aktuellen Rechtsschutzinteresses zu verzichten (vgl. zum Ganzen Urteil 5A_339/2016 vom 27. Januar 2017 E. 1.2).</w:t>
      </w:r>
    </w:p>
    <w:p>
      <w:r>
        <w:rPr>
          <w:b/>
        </w:rPr>
        <w:t>E. 1.3</w:t>
      </w:r>
    </w:p>
    <w:p>
      <w:r>
        <w:t>Hinsichtlich der von ihm erstmals mit den Schreiben vom 10. September 2020 angesprochenen Anliegen macht der Beschwerdeführer vor dem Bundesgericht nicht geltend, die Vorinstanz habe zu Unrecht das Vorliegen einer Rechtsverweigerung oder Rechtsverzögerung verneint. Gleiches gilt in Bezug auf den bei der PAKO gestellten Antrag auf Erlass einer anfechtbaren Verfügung betreffend Maskentragpflicht. Es ist deshalb davon auszugehen, dass das Urteil der Vorinstanz in diesen Punkten nicht angefochten ist. Im Übrigen legt der Beschwerdeführer nicht in einer den Anforderungen von Art. 42 Abs. 2 bzw. Art. 106 Abs. 2 BGG genügenden Weise dar, dass die Vorinstanz durch Verneinung des Rechtsverweigerungs- bzw. -verzögerungsvorwurfs gegen schweizerisches Recht verstossen habe: Die Vorinstanz führte aus, die Direktion habe mit ihrem Feststellungsentscheid vom 7. Dezember 2020 dem Antrag des Beschwerdeführers auf Erlass einer anfechtbaren Verfügung betreffend den Computer entsprochen. Damit sei der Rekurs insoweit gegenstandslos geworden und abzuschreiben. Was die Ausbildungskosten und die Befreiung von der Arbeitspflicht gemäss dem Schreiben des Beschwerdeführers vom 28. Mai 2020 betreffe, sei die Direktion gar nicht zum Entscheid in der Sache zuständig gewesen. Auch hätten diesbezüglich die entscheidrelevanten tatsächlichen Grundlagen noch nicht festgestanden. Mangels Verpflichtung der Direktion, in Bezug auf diese beiden Punkte eine Verfügung zu erlassen (bzw. in der Sache zu entscheiden), liege keine Rechtsverweigerung vor. Sodann sei hinsichtlich sämtlicher Anträge vom 28. Mai 2020 keine Rechtsverzögerung gegeben, namentlich weil der Beschwerdeführer jeweils innert angemessener Frist eine Antwort erhalten habe. Der Beschwerdeführer lässt eine gezielte Auseinandersetzung mit diesen (hier zusammengefasst wiedergegebenen) Erwägungen vermissen. Er beschränkt sich im Wesentlichen darauf, eine unvollständige Sachverhaltsfeststellung durch die Vorinstanz zu rügen, allerdings ebenfalls ohne dies in der erforderlichen Weise näher zu substanziieren und aufzuzeigen, inwiefern dies für den Verfahrensaus-gang relevant sein sollte (vgl. dazu Art. 97 Abs. 1 und Art. 105 Abs. 2 BGG sowie BGE 140 III 16 E. 1.3.1 mit Hinweisen).</w:t>
      </w:r>
    </w:p>
    <w:p>
      <w:r>
        <w:rPr>
          <w:b/>
        </w:rPr>
        <w:t>E. 1.4</w:t>
      </w:r>
    </w:p>
    <w:p>
      <w:r>
        <w:t>Nach dem Gesagten genügt die Beschwerde den gesetzlichen Formerfordernissen nicht, weshalb darauf nicht einzutreten ist.</w:t>
      </w:r>
    </w:p>
    <w:p>
      <w:r>
        <w:rPr>
          <w:b/>
        </w:rPr>
        <w:t>E. 2</w:t>
      </w:r>
    </w:p>
    <w:p>
      <w:r>
        <w:t>Auf eine Kostenauflage kann ausnahmsweise verzichtet werden ( Art. 66 Abs. 1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