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1B_264/2015 vom 2. September 2015</w:t>
      </w:r>
    </w:p>
    <w:p>
      <w:r>
        <w:t>Bundesgericht, 2015-09-02, FR</w:t>
      </w:r>
    </w:p>
    <w:p>
      <w:r>
        <w:rPr>
          <w:b/>
        </w:rPr>
        <w:t xml:space="preserve">Quelle: </w:t>
      </w:r>
      <w:r>
        <w:t>https://mcp.opencaselaw.ch/entscheid/bger_1B_264_2015</w:t>
      </w:r>
    </w:p>
    <w:p>
      <w:r>
        <w:t>FR: TF 1B_264/2015 du 2 septembre 2015</w:t>
      </w:r>
    </w:p>
    <w:p>
      <w:r>
        <w:t>IT: TF 1B_264/2015 del 2 settembre 2015</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Le recourant, dont la demande de mise en liberté a été écartée, a qualité pour agir (art. 81 al. 1 let. a et b ch. 1 LTF)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et 5 par. 1 let. c CEDH). Cette condition n'est pas remise en cause en l'espèce.</w:t>
      </w:r>
    </w:p>
    <w:p>
      <w:r>
        <w:rPr>
          <w:b/>
        </w:rPr>
        <w:t>E. 3</w:t>
      </w:r>
    </w:p>
    <w:p>
      <w:r>
        <w:t>Le recourant conteste l'existence d'un risque de fuite propre à justifier son maintien en détention provisoire en relevant que ses attaches sont essentiellement en Suisse, pays où il a vécu depuis l'âge de cinq ans et dont il a la nationalité, et qu'il risquerait sa vie s'il retournait au Kosovo d'où il pourrait aisément être extradé.</w:t>
      </w:r>
    </w:p>
    <w:p>
      <w:r>
        <w:rPr>
          <w:b/>
        </w:rPr>
        <w:t>E. 3.1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w:t>
      </w:r>
    </w:p>
    <w:p>
      <w:r>
        <w:rPr>
          <w:b/>
        </w:rPr>
        <w:t>E. 3.2</w:t>
      </w:r>
    </w:p>
    <w:p>
      <w:r>
        <w:t>Le recourant peut certes se prévaloir d'attaches importantes en Suisse, pays dont il a acquis la nationalité et où résident ses parents, ses soeurs, son frère, ses proches et son amie intime qu'il fréquente depuis plus de trois ans. Il ne conteste toutefois pas avoir conservé des contacts au Kosovo où son père possède une maison et où vivent des oncles et des tantes même s'il qualifie ces liens de peu étroits. Il n'a pas de travail fixe et régulier en Suisse. Il importe peu que le risque de fuite n'a pas été retenu dans d'autres procédures pénales puisqu'il doit s'apprécier en fonction des circonstances qui prévalent au moment de statuer sur la détention provisoire. Or, le recourant a été condamné en 2013 pour un brigandage commis à Delémont en 2010 et s'expose à voir révoqué le sursis accordé à la peine privative de liberté de 12 mois qui lui a été infligée. Le fait qu'il se soit présenté au jugement en appel dans cette affaire alors qu'il avait été condamné en première instance à une peine privative de liberté ferme de 16 mois ne constitue pas un élément suffisant pour admettre qu'il ne prendra pas la fuite dans la mesure où il pouvait alors s'attendre à bénéficier du sursis, ce qui n'est pas le cas en l'occurrence. Les infractions à la loi sur les stupéfiants qui lui sont reprochées sont graves. La peine privative de liberté à laquelle il s'expose est relativement importante. Dans ces circonstances, le risque de fuite apparaît incontestable. Les risques de représailles auxquels le recourant dit être exposé s'il se rendait au Kosovo ne reposent pas sur des menaces concrètes proférées à son encontre ou à celle ou de sa famille mais sur le fait que l'un des fournisseurs qui a été arrêté en Belgique serait un mafieux notoire qui se serait rendu coupable de crimes de sang dans son pays d'origine selon des informations glanées sur internet. De même, il est sans importance que son extradition puisse aisément être obtenue s'il devait se réfugier dans son pays d'origine ( ATF 123 I 31 consid. 3d p. 36). L'affirmation d'un risque de fuite dispense d'examiner s'il existe aussi des risques de réitération et de collusion comme l'ont retenu le Ministère public à l'appui de sa demande de prolongation de la détention et la Juge des mesures de contrainte.</w:t>
      </w:r>
    </w:p>
    <w:p>
      <w:r>
        <w:rPr>
          <w:b/>
        </w:rPr>
        <w:t>E. 3.3</w:t>
      </w:r>
    </w:p>
    <w:p>
      <w:r>
        <w:t>Le recourant estime que sa mise en liberté immédiate aurait dû être ordonnée moyennant des mesures de substitution.</w:t>
      </w:r>
    </w:p>
    <w:p>
      <w:r>
        <w:rPr>
          <w:b/>
        </w:rPr>
        <w:t>E. 3.3.1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3.3.2</w:t>
      </w:r>
    </w:p>
    <w:p>
      <w:r>
        <w:t>Le dépôt des papiers d'identité à la police, l'interdiction de quitter la Suisse et l'obligation de se présenter régulièrement à un poste de police ne constituent pas en l'occurrence une mesure suffisante pour prévenir le risque de fuite précité, car un départ à l'étranger est toujours possible, même sans documents d'identité, ce d'autant qu'il apparaît aisé pour le recourant de se procurer un faux passeport. Quant à la caution de 15'000 francs qui serait mise à disposition par sa famille et ses proches, sans autre précision sur la capacité financière de ces derniers et sur l'origine des fonds, on ne saurait admettre qu'elle agira comme un frein suffisamment puissant pour écarter toute velléité de fuite compte tenu notamment de l'importance de la peine à laquelle le recourant s'expose.</w:t>
      </w:r>
    </w:p>
    <w:p>
      <w:r>
        <w:rPr>
          <w:b/>
        </w:rPr>
        <w:t>E. 3.4</w:t>
      </w:r>
    </w:p>
    <w:p>
      <w:r>
        <w:t>La Chambre pénale des recours n'a pas davantage violé le droit fédéral en considérant que les mesures de substitution proposées par le recourant n'étaient pas propres, en l'état, à limiter le risque de fuite de façon déterminante.</w:t>
      </w:r>
    </w:p>
    <w:p>
      <w:r>
        <w:rPr>
          <w:b/>
        </w:rPr>
        <w:t>E. 4</w:t>
      </w:r>
    </w:p>
    <w:p>
      <w:r>
        <w:t>Le recourant relève que son père et un autre prévenu ont été remis en liberté, alors qu'ils seraient moins bien intégrés en Suisse, mais il ne se plaint pas d'une inégalité de traitement et n'explique pas - alors que cette démonstration lui incombe, s'agissant d'un grief d'ordre constitutionnel au sens de l' art. 106 al. 2 LTF - en quoi la situation de ces personnes ressemblerait à la sienne, notamment au regard des faits qui leur sont reprochés et de la peine à laquelle elles seraient exposées, au point d'imposer un traitement identique.</w:t>
      </w:r>
    </w:p>
    <w:p>
      <w:r>
        <w:rPr>
          <w:b/>
        </w:rPr>
        <w:t>E. 5</w:t>
      </w:r>
    </w:p>
    <w:p>
      <w:r>
        <w:t>Le recours doit par conséquent être rejeté dans la mesure où il est recevable. Dès lors que le recourant est dans le besoin et que ses conclusions ne paraissaient pas d'emblée vouées à l'échec, l'assistance judiciaire doit lui être accordée ( art. 64 al. 1 LTF ). Le recourant requiert la désignation de Me Gwenaël Ponsart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