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263/2017 vom 4. Juli 2017</w:t>
      </w:r>
    </w:p>
    <w:p>
      <w:r>
        <w:t>Bundesgericht, 2017-07-04, DE</w:t>
      </w:r>
    </w:p>
    <w:p>
      <w:r>
        <w:rPr>
          <w:b/>
        </w:rPr>
        <w:t xml:space="preserve">Quelle: </w:t>
      </w:r>
      <w:r>
        <w:t>https://mcp.opencaselaw.ch/entscheid/bger_1B_263_2017</w:t>
      </w:r>
    </w:p>
    <w:p>
      <w:r>
        <w:t>FR: TF 1B 263/2017 du 4 juillet 2017</w:t>
      </w:r>
    </w:p>
    <w:p>
      <w:r>
        <w:t>IT: TF 1B 263/2017 del 4 luglio 2017</w:t>
      </w:r>
    </w:p>
    <w:p>
      <w:pPr>
        <w:pStyle w:val="Heading2"/>
      </w:pPr>
      <w:r>
        <w:t>Regeste</w:t>
      </w:r>
    </w:p>
    <w:p>
      <w:r>
        <w:t>Strafverfahren; Entschädigung bei teilweiser Verfahrenseinstellung | Strafprozess</w:t>
      </w:r>
    </w:p>
    <w:p>
      <w:pPr>
        <w:pStyle w:val="Heading2"/>
      </w:pPr>
      <w:r>
        <w:t>Erwägungen</w:t>
      </w:r>
    </w:p>
    <w:p>
      <w:r>
        <w:rPr>
          <w:b/>
        </w:rPr>
        <w:t>E. 1</w:t>
      </w:r>
    </w:p>
    <w:p>
      <w:r>
        <w:t>Die Regionale Staatsanwaltschaft Emmental-Oberaargau eröffnete am 4. August 2014 gegen A.C.________ und die D.________ AG eine Strafuntersuchung wegen Betrugs, Urkundenfälschung und Steuerbetrugs. Am 16. April 2015 wurde eine Strafuntersuchung gegen die von A.C.________ getrennt lebende Ehefrau, B.C.________, wegen Steuerbetrugs, evtl. Gehilfenschaft zum Steuerbetrug eröffnet. Am 5. Mai 2015 wurde die Untersuchung auf C.C.________ wegen Steuerbetrugs, evtl. Gehilfenschaft zum Steuerbetrug und Mithilfe zur Steuerhinterziehung ausgedehnt. Am 27. Januar 2017 stellte die Regionale Staatsanwaltschaft Emmental-Oberaargau das Verfahren gegen die D.________ AG vollständig und gegen A.C.________ soweit den Vorwurf des Betrugs und der Urkundenfälschung betreffend ein. Die Verfahrenskosten wurden dem Kanton Bern auferlegt. Entschädigung und Genugtuung wurden keine ausgerichtet. Dagegen erhob A.C.________ am 13./15. Februar 2017 Beschwerde und ersuchte um eine Entschädigung. Die Beschwerdekammer in Strafsachen des Obergerichts des Kantons Bern hiess mit Beschluss vom 29. Mai 2017 die Beschwerde teilweise gut und stellte fest, dass das rechtliche Gehör des Beschwerdeführers verletzt wurde. Im Übrigen wies die Beschwerdekammer die Beschwerde ab. Sie führte zur Begründung zusammenfassend aus, das Verfahren wegen Steuerbetrugs werde mutmasslich im Kanton Solothurn weitergeführt. Über eine allfällige Entschädigung werde nach Abschluss des Verfahrens betreffend den Vorwurf des Steuerbetrugs und allfälliger weiterer Steuerdelikte zu entscheiden sein. Die Staatsanwaltschaft habe daher zu Recht dem Beschwerdeführer keine Entschädigung für die teilweise Einstellung des Verfahrens ausgerichtet.</w:t>
      </w:r>
    </w:p>
    <w:p>
      <w:r>
        <w:rPr>
          <w:b/>
        </w:rPr>
        <w:t>E. 2</w:t>
      </w:r>
    </w:p>
    <w:p>
      <w:r>
        <w:t>A.C.________ führt mit Eingabe vom 29. Juni 2017 Beschwerde in Strafsachen gegen den Beschluss der Beschwerdekammer in Strafsachen des Obergerichts des Kantons Bern vom 29. Mai 2017. Das Bundesgericht verzichtet auf die Einholung von Vernehmlassungen.</w:t>
      </w:r>
    </w:p>
    <w:p>
      <w:r>
        <w:rPr>
          <w:b/>
        </w:rPr>
        <w:t>E. 3.1</w:t>
      </w:r>
    </w:p>
    <w:p>
      <w:r>
        <w:t>Der Beschluss der Beschwerdekammer in Strafsachen des Obergerichts des Kantons Bern schliesst das Strafverfahren gegen den Beschwerdeführer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was vorliegend von vornherein nicht zutrifft,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keinerlei Ausführungen zu den Eintretensvoraussetzungen von Art. 93 Abs. 1 BGG . Im Übrigen ist auch nicht ersichtlich, inwiefern ihm durch den angefochtenen Beschluss ein nicht wieder gutzumachender Nachteil im Sinne Art. 93 Abs. 1 lit. a BGG entstehen sollte. Mangels einer hinreichenden Begründung im Sinne von Art. 42 Abs. 2 BGG ist somit im vereinfachten Verfahren nach Art. 108 Abs. 1 BGG auf die Beschwerde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