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1B_263/2008 vom 23. Oktober 2008</w:t>
      </w:r>
    </w:p>
    <w:p>
      <w:r>
        <w:t>Bundesgericht, 2008-10-23, DE</w:t>
      </w:r>
    </w:p>
    <w:p>
      <w:r>
        <w:rPr>
          <w:b/>
        </w:rPr>
        <w:t xml:space="preserve">Quelle: </w:t>
      </w:r>
      <w:r>
        <w:t>https://mcp.opencaselaw.ch/entscheid/bger_1B_263_2008</w:t>
      </w:r>
    </w:p>
    <w:p>
      <w:r>
        <w:t>FR: TF 1B_263/2008 du 23 octobre 2008</w:t>
      </w:r>
    </w:p>
    <w:p>
      <w:r>
        <w:t>IT: TF 1B_263/2008 del 23 ottobre 2008</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Die Beschwerdeführerin nahm vor der Vorinstanz am Verfahren teil und hat ein rechtlich geschütztes Interesse an der Aufhebung des angefochtenen Entscheids. Sie ist nach Art. 81 Abs. 1 BGG zur Beschwerde befugt.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darf nach Zürcher Strafprozessrecht nur angeordnet bzw. fortgesetzt werden, wenn der Angeschuldigte eines Verbrechens oder Vergehens dringend verdächtigt wird und ausserdem ein besonderer Haftgrund vorliegt ( § 58 Abs. 1 StPO /ZH). Kollusionsgefahr als besonderer Haftgrund liegt vor, wenn aufgrund bestimmter Anhaltspunkte ernsthaft befürchtet werden muss, der Angeschuldigte werde Spuren oder Beweismittel beseitigen, Dritte zu falschen Aussagen zu verleiten suchen oder die Abklärung des Sachverhalts auf andere Weise gefährden ( § 58 Abs. 1 Ziff. 2 StPO /ZH).</w:t>
      </w:r>
    </w:p>
    <w:p>
      <w:r>
        <w:t>Die Beschwerdeführerin bestreitet den dringenden Tatverdacht nicht. Sie wendet sich aber gegen die Annahme von Kollusionsgefahr.</w:t>
      </w:r>
    </w:p>
    <w:p>
      <w:r>
        <w:rPr>
          <w:b/>
        </w:rPr>
        <w:t>E. 2.2</w:t>
      </w:r>
    </w:p>
    <w:p>
      <w:r>
        <w:t>Der besondere Haftgrund der Kollusionsgefahr wird im angefochtenen Entscheid nur summarisch begründet. Der Haftrichter stellt fest, dass noch weitere Untersuchungshandlungen, insbesondere (Konfrontations-)Einvernahmen mit dem Geldgeber der Angeschuldigten durchzuführen seien, zumal auch der Verteidiger davon ausgehe, dass dieser sachdienliche Angaben machen könne. Falls die Angeschuldigte aus der Haft entlassen würde, könnte sie versucht sein, den Geldgeber unter Druck zu setzen oder zu falschen Aussagen zu verleiten beziehungsweise sich mit ihm abzusprechen. Im Antrag der Staatsanwaltschaft vom 12. September 2008 auf Fortsetzung der Untersuchungshaft wird zur Frage der Kollusionsgefahr vermerkt, dass die Angeschuldigte noch mit den Lieferanten, dem Geldgeber und den Abnehmern zu konfrontieren sei. All diese Personen sollten ihre Aussagen unbeeinflusst von der Angeschuldigten zu Protokoll geben können, weshalb es unumgänglich sei, die Angeschuldigte weiterhin in Haft zu behalten.</w:t>
      </w:r>
    </w:p>
    <w:p>
      <w:r>
        <w:t>Die Beschwerdeführerin wendet ein, der Geldgeber sei bislang unbehelligt geblieben. Sie selbst sei erst ein halbes Jahr nach der Drogeneinfuhr und den Belastungen durch einen Mitangeschuldigten verhaftet worden. Sinngemäss bringt sie zudem vor, Kollusionsgefahr bestehe in erster Linie seitens einer weiteren, sich im vorzeitigen Strafvollzug befindenden Mitangeschuldigten und seitens des Fahrers der Drogenkurierin, der nicht verhaftet worden sei. Es gehe nicht an, bei ihr selbst, nicht aber bei den genannten beiden Personen die Kollusionsgefahr zu bejahen.</w:t>
      </w:r>
    </w:p>
    <w:p>
      <w:r>
        <w:rPr>
          <w:b/>
        </w:rPr>
        <w:t>E. 2.3</w:t>
      </w:r>
    </w:p>
    <w:p>
      <w:r>
        <w:t>Bei Beschwerden, die gestützt auf das Recht der persönlichen Freiheit wegen der Ablehnung eines Haftentlassungsgesuchs erhoben werden, prüft das Bundesgericht im Hinblick auf die Schwere des Eingriffes die Auslegung und Anwendung des entsprechenden Prozessrechts frei. Soweit jedoch reine Sachverhaltsfragen und damit Fragen der Beweiswürdigung zu beurteilen sind, greift das Bundesgericht nur ein, wenn die tatsächlichen Feststellungen des vorinstanzlichen Haftrichters willkürlich sind (vgl. BGE 132 I 21 E. 3.2.3 S. 24 mit Hinweisen).</w:t>
      </w:r>
    </w:p>
    <w:p>
      <w:r>
        <w:rPr>
          <w:b/>
        </w:rPr>
        <w:t>E. 2.4</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Die theoretische Möglichkeit, dass der Angeschuldigte in Freiheit kolludieren könnte, genügt indessen nicht, um die Fortsetzung der Haft unter diesem Titel zu rechtfertigen. Es müssen vielmehr konkrete Indizien für die Annahme von Kollusionsgefahr sprechen ( BGE 132 I 21 E. 3.2 S. 23 ; 128 I 149 E. 2.1 S. 151, je mit Hinweisen).</w:t>
      </w:r>
    </w:p>
    <w:p>
      <w:r>
        <w:t>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Kollusionsgefahr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grundsätzlich an den Nachweis von Kollusionsgefahr zu stellen ( BGE 132 I 21 E. 3.2.1 und 3.2.2 S. 23 f. mit Hinweisen).</w:t>
      </w:r>
    </w:p>
    <w:p>
      <w:r>
        <w:t>Gerade weil es sich beim Haftrichter im einstufigen zürcherischen System um die einzige richterliche Haftprüfungsinstanz handelt, darf an das Vorliegen eines hinreichend begründeten Haftgrundes kein tiefer Massstab angelegt werden. Zu berücksichtigen ist auch, dass es bei der Frage der Zulässigkeit von Untersuchungshaft wie erwähnt um einen schwerwiegenden Eingriff in die persönliche Freiheit geht ( BGE 133 I 270 E. 3.5.1 S. 283 mit Hinweisen).</w:t>
      </w:r>
    </w:p>
    <w:p>
      <w:r>
        <w:rPr>
          <w:b/>
        </w:rPr>
        <w:t>E. 2.5</w:t>
      </w:r>
    </w:p>
    <w:p>
      <w:r>
        <w:t>Worauf die konkrete Befürchtung gründet, dass die Beschwerdeführerin kolludieren könnte, wird im angefochtenen Entscheid nicht hinreichend dargelegt. Hinzu kommt, dass es der Haftrichter unterlassen hat, wenigstens nachträglich, in einer Vernehmlassung zur vorliegenden Beschwerde, auf die Argumente der Beschwerdeführerin einzugehen. Die diesbezügliche Einladung des Bundesgerichts ist mit dem Vermerk "Auf Vernehmlassung wird verzichtet" retourniert worden (vgl. BGE 133 I 270 E. 3.5.1 S. 283 mit Hinweis).</w:t>
      </w:r>
    </w:p>
    <w:p>
      <w:r>
        <w:t>Aufgrund der unzulänglichen Begründung durch die Vorinstanz ist das Bundesgericht nicht in der Lage, das Vorliegen des Haftgrundes der Kollusionsgefahr zu prüfen. Es ist nicht Aufgabe des Bundesgerichts, weitere Beweisabklärungen zu treffen oder von sich aus in den Akten nach ausreichenden Haftgründen zu forschen. Die Beschwerde ist deshalb gutzuheissen und der angefochtene Entscheid aufzuheben.</w:t>
      </w:r>
    </w:p>
    <w:p>
      <w:r>
        <w:rPr>
          <w:b/>
        </w:rPr>
        <w:t>E. 3.1</w:t>
      </w:r>
    </w:p>
    <w:p>
      <w:r>
        <w:t>Die Beschwerdeführerin rügt weiter eine Verletzung des in Art. 31 Abs. 3 BV und Art. 5 Ziff. 3 EMRK verankerten Beschleunigungsgebots. Nach diesen Bestimmungen hat eine Person in strafprozessualer Haft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Im Weiteren kann eine Haft die zulässige Dauer auch dann überschreiten, wenn das Strafverfahren nicht genügend vorangetrieben wird, wobei sowohl das Verhalten der Justizbehörden als auch dasjenige des Inhaftierten in Betracht gezogen werden müssen ( BGE 126 I 172 E. 5a S. 176 f. ; 133 I 270 E. 1.2.2 S. 274, je mit Hinweisen).</w:t>
      </w:r>
    </w:p>
    <w:p>
      <w:r>
        <w:rPr>
          <w:b/>
        </w:rPr>
        <w:t>E. 3.2</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t>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oft erst der Sachrichter beurteilen, der auch darüber zu befinden hat, in welcher Weise - z.B. durch eine Strafreduktion - eine allfällige Verletzung des Beschleunigungsgebots wieder gutzumachen ist ( BGE 128 I 149 E. 2.2.1 und 2.2.2 S. 151 f. mit Hinweis).</w:t>
      </w:r>
    </w:p>
    <w:p>
      <w:r>
        <w:rPr>
          <w:b/>
        </w:rPr>
        <w:t>E. 3.3</w:t>
      </w:r>
    </w:p>
    <w:p>
      <w:r>
        <w:t>Vorliegend rügt die Beschwerdeführerin, das Verfahren sei nicht genügend vorangetrieben worden. Konkret bemängelt sie insbesondere, dass die Strafverfolgungsbehörden den mutmasslichen Geldgeber bislang weder verhaftet noch auch nur befragt hätten, obwohl dieser von einem Mitangeschuldigten bereits am 17. Dezember 2007 identifiziert worden sei.</w:t>
      </w:r>
    </w:p>
    <w:p>
      <w:r>
        <w:rPr>
          <w:b/>
        </w:rPr>
        <w:t>E. 3.4</w:t>
      </w:r>
    </w:p>
    <w:p>
      <w:r>
        <w:t>Konkrete Anhaltspunkte für eine Verletzung des Beschleunigungsgebots sind nicht ersichtlich. Das Beschleunigungsgebot steht vorliegend in engem Zusammenhang mit der Kollusionsgefahr, wird doch diese im vorinstanzlichen Entscheid vor allem damit begründet, dass der Geldgeber der Angeschuldigten einzuvernehmen sei. Auf die Frage der Verletzung des Beschleunigungsgebots ist daher nicht weiter einzugehen.</w:t>
      </w:r>
    </w:p>
    <w:p>
      <w:r>
        <w:rPr>
          <w:b/>
        </w:rPr>
        <w:t>E. 4</w:t>
      </w:r>
    </w:p>
    <w:p>
      <w:r>
        <w:t>Die Beschwerdeführerin beantragt, sie sei aus der Untersuchungshaft zu entlassen. Angesichts der schwerwiegenden strafrechtlichen Vorwürfe und der von den kantonalen Behörden geltend gemachten, aber nicht ausreichend dargelegten Haftgründe rechtfertigt sich im gegenwärtigen Zeitpunkt eine Entlassung der Beschwerdeführerin aus der Untersuchungshaft nicht (vgl. BGE 133 I 270 E. 3.4.3 S. 282 ; 128 I 149 E. 4.4 S. 154; Urteil 1P.90/2005 vom 23. Februar 2005, E. 4, publ. in Pra 2006 Nr. 1 S. 1).</w:t>
      </w:r>
    </w:p>
    <w:p>
      <w:r>
        <w:t>Die Sache wird zur neuen Beurteilung im Sinne der vorangehenden Erwägungen an den Haftrichter zurückgewiesen ( Art. 107 Abs. 2 BGG ). Der Haftrichter wird das Vorliegen von Kollusionsgefahr oder einem anderen Haftgrund erneut zu prüfen haben. Seinen Entscheid wird der Haftrichter in einer den verfassungsrechtlichen Anforderungen genügenden Weise zu begründen haben (vgl. BGE 133 I 270 E. 3.5.1 S. 283 f.).</w:t>
      </w:r>
    </w:p>
    <w:p>
      <w:r>
        <w:t>Entsprechend dem Ausgang des bundesgerichtlichen Verfahrens sind keine Gerichtskosten zu erheben ( Art. 66 Abs. 1 und 4 BGG ). Der Kanton Zürich hat der Beschwerdeführerin eine angemessene Parteientschädigung zu bezahlen ( Art. 68 Abs. 2 BGG ). Damit erweist sich ihr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