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262/2014 vom 24. September 2014</w:t>
      </w:r>
    </w:p>
    <w:p>
      <w:r>
        <w:t>Bundesgericht, 2014-09-24, DE</w:t>
      </w:r>
    </w:p>
    <w:p>
      <w:r>
        <w:rPr>
          <w:b/>
        </w:rPr>
        <w:t xml:space="preserve">Quelle: </w:t>
      </w:r>
      <w:r>
        <w:t>https://mcp.opencaselaw.ch/entscheid/bger_1B_262_2014</w:t>
      </w:r>
    </w:p>
    <w:p>
      <w:r>
        <w:t>FR: TF 1B 262/2014 du 24 septembre 2014</w:t>
      </w:r>
    </w:p>
    <w:p>
      <w:r>
        <w:t>IT: TF 1B 262/2014 del 24 settembre 2014</w:t>
      </w:r>
    </w:p>
    <w:p>
      <w:pPr>
        <w:pStyle w:val="Heading2"/>
      </w:pPr>
      <w:r>
        <w:t>Regeste</w:t>
      </w:r>
    </w:p>
    <w:p>
      <w:r>
        <w:t>Bestellung eines amtlichen Verteidigers | Strafprozess</w:t>
      </w:r>
    </w:p>
    <w:p>
      <w:pPr>
        <w:pStyle w:val="Heading2"/>
      </w:pPr>
      <w:r>
        <w:t>Erwägungen</w:t>
      </w:r>
    </w:p>
    <w:p>
      <w:r>
        <w:rPr>
          <w:b/>
        </w:rPr>
        <w:t>E. 1</w:t>
      </w:r>
    </w:p>
    <w:p>
      <w:r>
        <w:t>Angefochten ist ein kantonal letztinstanzlicher Entscheid über die Gewährung der amtlichen Verteidigung in einem Strafverfahren; dagegen ist die Beschwerde in Strafsachen zulässig ( Art. 78 Abs. 1, Art. 80 BGG ). Es handelt sich um einen Zwischenentscheid, der einen nicht wieder gutzumachenden Nachteil bewirken kann ( Art. 93 Abs. 1 lit. a BGG ; Urteil 1B_448/2012 vom 17. Oktober 2012 E. 1 mit Hinweisen). Auf die Beschwerde kann eingetreten werden, soweit sich die Vorbringen des Beschwerdeführers auf den angefochtenen Entscheid beziehen. Die Beschwerde erweist sich indes als offensichtlich unbegründet.</w:t>
      </w:r>
    </w:p>
    <w:p>
      <w:r>
        <w:rPr>
          <w:b/>
        </w:rPr>
        <w:t>E. 2.1</w:t>
      </w:r>
    </w:p>
    <w:p>
      <w:r>
        <w:t>Gemäss Art. 132 StPO ordnet die Verfahrensleitung eine amtliche Verteidigung an, wenn die beschuldigte Person nicht über die erforderlichen Mittel verfügt und die Verteidigung zur Wahrung ihrer Interessen geboten ist (Abs. 1 lit. b).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eine Geldstrafe von mehr als 120 Tagessätzen oder gemeinnützige Arbeit von mehr als 480 Stunden zu erwarten ist (Abs. 3). Mit den gesetzlichen Bestimmungen von Art. 132 StPO wurde im Wesentlichen die bisherige bundesgerichtliche Rechtsprechung zu Art. 29 Abs. 3 BV und Art. 6 Ziff. 3 lit. c EMRK kodifiziert ( BGE 139 IV 113 E. 4.3 S. 119).</w:t>
      </w:r>
    </w:p>
    <w:p>
      <w:r>
        <w:rPr>
          <w:b/>
        </w:rPr>
        <w:t>E. 2.2</w:t>
      </w:r>
    </w:p>
    <w:p>
      <w:r>
        <w:t>Der Beschwerdeführer war im Untersuchungsverfahren amtlich verteidigt. Verfahrensgegenstand bildet vorliegend einzig die amtliche Verteidigung im Berufungsverfahren. Die Vorinstanz geht insoweit von einem Bagatellfall aus. Dies verletzt bei einer drohenden bedingten Geldstrafe von 25 Tagessätzen zu je Fr. 20.-- kein Bundesrecht (vgl. BGE 128 I 225 E. 2.5.2 S. 233; vgl. auch Urteil 1B_16/2014 vom 18. August 2014 E. 2.2). Es sind auch keine anderen Gründe ersichtlich, die einen Anspruch auf amtliche Verteidigung begründen könnten.</w:t>
      </w:r>
    </w:p>
    <w:p>
      <w:r>
        <w:rPr>
          <w:b/>
        </w:rPr>
        <w:t>E. 3</w:t>
      </w:r>
    </w:p>
    <w:p>
      <w:r>
        <w:t>Die Beschwerde ist abzuweisen, soweit darauf eingetreten werden kann. Da sie aussichtslos war, kann die unentgeltliche Rechtspflege und Verbeiständung nach Art. 64 BGG nicht bewilligt werden. In Anbetracht der finanziellen Verhältnisse des Beschwerdeführers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