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1B_25/2018 vom 7. Februar 2018</w:t>
      </w:r>
    </w:p>
    <w:p>
      <w:r>
        <w:t>Bundesgericht, 2018-02-07, DE</w:t>
      </w:r>
    </w:p>
    <w:p>
      <w:r>
        <w:rPr>
          <w:b/>
        </w:rPr>
        <w:t xml:space="preserve">Quelle: </w:t>
      </w:r>
      <w:r>
        <w:t>https://mcp.opencaselaw.ch/entscheid/bger_1B_25_2018</w:t>
      </w:r>
    </w:p>
    <w:p>
      <w:r>
        <w:t>FR: TF 1B_25/2018 du 7 février 2018</w:t>
      </w:r>
    </w:p>
    <w:p>
      <w:r>
        <w:t>IT: TF 1B_25/2018 del 7 febbraio 2018</w:t>
      </w:r>
    </w:p>
    <w:p>
      <w:pPr>
        <w:pStyle w:val="Heading2"/>
      </w:pPr>
      <w:r>
        <w:t>Erwägungen</w:t>
      </w:r>
    </w:p>
    <w:p>
      <w:r>
        <w:rPr>
          <w:b/>
        </w:rPr>
        <w:t>E. 1</w:t>
      </w:r>
    </w:p>
    <w:p>
      <w:r>
        <w:t>Die Sachurteilsvoraussetzungen gemäss Art. 78 ff. BGG sind erfüllt und geben zu keinen Bemerkungen Anlass.</w:t>
      </w:r>
    </w:p>
    <w:p>
      <w:r>
        <w:rPr>
          <w:b/>
        </w:rPr>
        <w:t>E. 2.1</w:t>
      </w:r>
    </w:p>
    <w:p>
      <w:r>
        <w:t>Gemäss Art. 221 Abs. 1 StPO ist Sicherheitshaft nur zulässig, wenn die beschuldigte Person eines Verbrechens oder Vergehens dringend verdächtig ist und unter anderem Fluchtgefahr (lit. a) oder Wiederholungsgefahr (lit. c) besteht.</w:t>
      </w:r>
    </w:p>
    <w:p>
      <w:r>
        <w:rPr>
          <w:b/>
        </w:rPr>
        <w:t>E. 2.2</w:t>
      </w:r>
    </w:p>
    <w:p>
      <w:r>
        <w:t>Der Beschwerdeführer bestreitet den dringenden Tatverdacht nicht. Er macht geltend, es bestehe keine Fluchtgefahr.</w:t>
      </w:r>
    </w:p>
    <w:p>
      <w:r>
        <w:t>Die Vorinstanz bejaht nicht nur Flucht-, sondern überdies Wiederholungsgefahr. Dass es an Letzterer fehle, macht der Beschwerdeführer zu Recht nicht geltend. Er ist mehrfach und einschlägig vorbestraft. Dass er am 30./31. Dezember 2015 ein Taschenmesser geöffnet und am 12. März 2016 das Opfer mit einem solchen verletzt hat, stellt er nicht in Abrede. Dr. med. Karen Fürstenau verfasste am 29. November 2016 ein psychiatrisches Gutachten über ihn. Sie kommt zum Schluss, das Risiko für ein erneutes gewalttätiges Verhalten sei hoch (S. 35 und 38). Am 14. November 2017 erstattete Dr. med. Michael Schlichting ein Obergutachten. Auch er hält dafür, beim Beschwerdeführer bestehe ein hohes Risiko für erneute störungsbedingte Straftaten. Die Kriminalprognose auch für erneute Gewalthandlungen müsse als ausgesprochen ungünstig eingeschätzt werden (S. 59 und S. 63/64). Angesichts dessen hat die Vorinstanz Wiederholungsgefahr ohne Bundesrechtsverletzung bejaht. Da ein einziger Haftgrund für die Inhaftierung genügt, kann offen bleiben, ob zusätzlich Fluchtgefahr gegeben sei.</w:t>
      </w:r>
    </w:p>
    <w:p>
      <w:r>
        <w:rPr>
          <w:b/>
        </w:rPr>
        <w:t>E. 3.1</w:t>
      </w:r>
    </w:p>
    <w:p>
      <w:r>
        <w:t>Der Beschwerdeführer wendet ein, seine weitere Inhaftierung sei unverhältnismässig.</w:t>
      </w:r>
    </w:p>
    <w:p>
      <w:r>
        <w:rPr>
          <w:b/>
        </w:rPr>
        <w:t>E. 3.2</w:t>
      </w:r>
    </w:p>
    <w:p>
      <w:r>
        <w:t>Zwar ist einzuräumen, dass die ihm auferlegte Freiheitsstrafe von 21 Monaten unter Einrechnung des bereits erlittenen strafprozessualen Freiheitsentzugs am 12. Dezember 2017 verbüsst war. Dies ist hier jedoch nicht entscheidend. Aufgrund des appellationsgerichtlichen Urteils, welches das strafgerichtliche bestätigte, muss der Beschwerdeführer ernsthaft mit einer stationären Massnahme nach Art. 59 StGB (Behandlung von psychischen Störungen) rechnen. In einem derartigen Fall ist nach der Rechtsprechung der Freiheitsentzug verhältnismässig, wenn der gesamte Vollzug der Massnahme deutlich länger dauern könnte als die bisherige strafprozessuale Haft ( BGE 126 I 172 E. 5e S. 178).</w:t>
      </w:r>
    </w:p>
    <w:p>
      <w:r>
        <w:rPr>
          <w:b/>
        </w:rPr>
        <w:t>E. 3.3</w:t>
      </w:r>
    </w:p>
    <w:p>
      <w:r>
        <w:t>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Vollzugbehörde die Verlängerung der Massnahme um jeweils höchstens fünf Jahre anordnen.</w:t>
      </w:r>
    </w:p>
    <w:p>
      <w:r>
        <w:t>Nach der Diagnose von Dr. Schlichting litt der Beschwerdeführer zu den Tatzeiten an einer paranoiden Psychose aus dem schizophrenen Formenkreis. Zudem habe der Beschwerdeführer einen schädlichen Gebrauch von Alkohol und Kokain betrieben. Die psychotische Grunderkrankung (mit instabilem Verlauf und fluktuierender psychopathologischer Symptomatik) sei klinisch als mittelschwer einzuschätzen und entspreche aus forensisch-psychiatrischer Sicht einer psychischen Störung von erheblicher Schwere (S. 62). Mit raschen Erfolgen der Therapie des Beschwerdeführers darf angesichts dieses gutachterlichen Befunds nicht gerechnet werden, zumal der Beschwerdeführer die Notwendigkeit seiner Behandlung nicht einsieht und Schwierigkeiten der sprachlichen Verständigung mit ihm dazukommen. Der Vollzug der Massnahme könnte daher deutlich länger dauern als die bisher erstandene Haft. Der Beschwerdeführer stellt das auch nicht substanziiert in Abrede.</w:t>
      </w:r>
    </w:p>
    <w:p>
      <w:r>
        <w:rPr>
          <w:b/>
        </w:rPr>
        <w:t>E. 3.4</w:t>
      </w:r>
    </w:p>
    <w:p>
      <w:r>
        <w:t>Er bringt vielmehr vor, die weitere Aufrechterhaltung der Haft sei unzweckmässig und damit unverhältnismässig, weil er keine realistische Aussicht auf einen Therapieplatz habe. Dem kann nicht gefolgt werden. Frau Dr. Fürstenau führt aus, der Beschwerdeführer spreche etwas französisch und weniger gut deutsch. Angesichts der Diagnose einer schweren psychischen Störung sollte die Massnahme in einer psychiatrischen Klinik vollzogen werden, z.B. der UPK Basel. Günstig wäre selbstverständlich ein französischsprachiger Arzt oder Therapeut. Gegebenenfalls müsste man einen Dolmetscher beiziehen (S. 35/36). Für die festgestellte psychische Störung sowie den schädlichen Gebrauch psychotroper Substanzen gebe es Behandlungskonzepte (S. 38). Dr. Schlichting legt dar, sowohl für die beim Beschwerdeführer festgestellte paranoide Schizophrenie als auch für seine Neigung zum schädlichen Substanzgebrauch existierten erprobte und effiziente psychiatrische und suchttherapeutische Behandlungsverfahren (S. 64). Weshalb diese dem Beschwerdeführer in der Schweiz nirgends geboten werden können sollten, ist nicht erkennbar. Wie die Vorinstanz zutreffend bemerkt, wird die Vollzugsbehörde, falls die Unterbringung in einer deutschschweizerischen Klinik wegen der mangelhaften Deutschkenntnisse des Beschwerdeführers nicht möglich sein sollte, die Suche nach einem geeigneten Therapieplatz auf die französischsprachige Schweiz auszudehnen haben. Erst wenn sich als sicher erweisen sollte, dass dem Beschwerdeführer trotz intensiver Suche nach einem Therapieplatz die nötige Behandlung in der Schweiz nirgends geboten werden kann, wäre seine weitere Belassung in Haft als unverhältnismässig anzusehen. So verhält es sich nicht. Falls es - wie der Beschwerdeführer vorbringt - zutreffen sollte, dass die UPK Basel seine Aufnahme abgelehnt hat, bedeutet das noch nicht, dass in der ganzen Schweiz für ihn kein geeigneter Therapieplatz gefunden werden kann.</w:t>
      </w:r>
    </w:p>
    <w:p>
      <w:r>
        <w:rPr>
          <w:b/>
        </w:rPr>
        <w:t>E. 3.5</w:t>
      </w:r>
    </w:p>
    <w:p>
      <w:r>
        <w:t>Die Beschwerde ist demnach auch im vorliegenden Punkt unbegründet.</w:t>
      </w:r>
    </w:p>
    <w:p>
      <w:r>
        <w:rPr>
          <w:b/>
        </w:rPr>
        <w:t>E. 4</w:t>
      </w:r>
    </w:p>
    <w:p>
      <w:r>
        <w:t>Die Beschwerde ist abzuweisen.</w:t>
      </w:r>
    </w:p>
    <w:p>
      <w:r>
        <w:t>Der Beschwerdeführer ersucht sinngemäss um unentgeltliche Rechtspflege und Verbeiständung gemäss Art. 64 BGG . Von seiner Bedürftigkeit ist auszugehen. Da die Haft einen schweren Eingriff in die persönliche Freiheit darstellt, konnte er sich zur Beschwerde veranlasst sehen. Die unentgeltliche Rechtspflege und Verbeiständung wird deshalb bewilligt. Es werden keine Gerichtskosten erhoben und der Anwältin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