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1B_25/2010 vom 17. Februar 2010</w:t>
      </w:r>
    </w:p>
    <w:p>
      <w:r>
        <w:t>Bundesgericht, 2010-02-17, FR</w:t>
      </w:r>
    </w:p>
    <w:p>
      <w:r>
        <w:rPr>
          <w:b/>
        </w:rPr>
        <w:t xml:space="preserve">Quelle: </w:t>
      </w:r>
      <w:r>
        <w:t>https://mcp.opencaselaw.ch/entscheid/bger_1B_25_2010</w:t>
      </w:r>
    </w:p>
    <w:p>
      <w:r>
        <w:t>FR: TF 1B_25/2010 du 17 février 2010</w:t>
      </w:r>
    </w:p>
    <w:p>
      <w:r>
        <w:t>IT: TF 1B_25/2010 del 17 febbraio 2010</w:t>
      </w:r>
    </w:p>
    <w:p>
      <w:pPr>
        <w:pStyle w:val="Heading2"/>
      </w:pPr>
      <w:r>
        <w:t>Erwägungen</w:t>
      </w:r>
    </w:p>
    <w:p>
      <w:r>
        <w:rPr>
          <w:b/>
        </w:rPr>
        <w:t>E. 1</w:t>
      </w:r>
    </w:p>
    <w:p>
      <w:r>
        <w:t>Conformément à l'art. 468 du code de procédure pénale vaudois (CPP/VD), après l'admission de la demande de révision, le Président du tribunal saisi statue sur la détention de l'accusé; il s'agit de détention préventive au sens de l' art. 59 CPP /VD. Les décisions prises à ce sujet sont des décisions en matière pénale au sens de l' art. 78 al. 1 LTF (cf. ATF 133 I 270 consid. 1.1 p. 273).</w:t>
      </w:r>
    </w:p>
    <w:p>
      <w:r>
        <w:t>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Dans un premier grief d'ordre formel, le recourant reproche au Tribunal d'accusation d'avoir statué sans lui laisser le temps de répliquer aux déterminations déposées par les parties civiles.</w:t>
      </w:r>
    </w:p>
    <w:p>
      <w:r>
        <w:rPr>
          <w:b/>
        </w:rPr>
        <w:t>E. 2.1</w:t>
      </w:r>
    </w:p>
    <w:p>
      <w:r>
        <w:t>Compris comme l'un des aspects de la notion générale de procès équitable au sens de l' art. 29 al. 1 Cst. , le droit d'être entendu garantit notamment le droit pour une partie à un procès de prendre connaissance de toute argumentation soumise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 ATF 133 I 98 consid. 2.1). L'autorité peut se limiter dans un premier temps à communiquer la prise de position à titre d'information, sans avis formel de la possibilité de répliquer. La partie est ainsi mise en situation de faire ou non usage de cette possibilité; il lui incombe alors soit de le faire sans retard soit de demander un délai à cette fin. Si elle s'en abstient, elle est censée y avoir renoncé après l'écoulement d'un certain délai ( ATF 133 I 105 consid. 4.8).</w:t>
      </w:r>
    </w:p>
    <w:p>
      <w:r>
        <w:rPr>
          <w:b/>
        </w:rPr>
        <w:t>E. 2.2</w:t>
      </w:r>
    </w:p>
    <w:p>
      <w:r>
        <w:t>La cour cantonale a transmis le préavis du Ministère public au recourant, qui a répliqué le 11 janvier 2010. Le recourant a par la suite reçu les déterminations des parties civiles, transmises directement par leurs avocats le 12 janvier 2010, sans qu'un délai de réplique ne lui ait été imparti. Le principe de célérité régissant la procédure de détention préventive, impose certes à l'autorité de statuer à bref délai, de sorte que celui qui entend faire valoir son droit de réplique doit en principe se manifester rapidement. En l'occurrence toutefois, l'arrêt cantonal a été rendu deux jours plus tard, le 14 janvier 2010, ce qui n'a manifestement pas suffi au recourant pour réagir dans un délai approprié, au sens de la jurisprudence rappelée ci-dessus. Compte tenu de la nature formelle du droit de répliquer, il n'y a pas lieu de rechercher si les déterminations des parties civiles contenaient des éléments nouveaux susceptibles d'influer sur la décision au fond ( ATF 133 I 100 consid. 4.3). Il ressort d'ailleurs de l'arrêt cantonal que ces observations n'ont pas été totalement ignorées.</w:t>
      </w:r>
    </w:p>
    <w:p>
      <w:r>
        <w:rPr>
          <w:b/>
        </w:rPr>
        <w:t>E. 3</w:t>
      </w:r>
    </w:p>
    <w:p>
      <w:r>
        <w:t>Le recours doit être admis pour ce motif déjà, et indépendamment des chances de succès sur le fond ( ATF 132 V 387 consid. 5.1 p. 390). Il n'y a donc pas à examiner les autres griefs soulevés par le recourant, en particulier celui relatif à la récusation du Juge cantonal Jean-François Meylan. La cause étant renvoyée au Tribunal d'accusation, le recourant pourra, le cas échéant, requérir la récusation de ce magistrat. L'admission du recours pour ce motif formel n'a évidemment pas pour conséquence la remise en liberté du recourant ( ATF 131 I 436 consid. 1.5): il appartiendra au Tribunal d'accusation de rendre une nouvelle décision à bref délai, après avoir respecté le droit d'être entendu du recourant. Conformément à l' art. 66 al. 4 LTF , il n'est pas perçu de frais judiciaires. L'Etat de Vaud versera au recourant une indemnité à titre de dépens ( art. 68 al. 1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