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259/2021 vom 19. August 2021</w:t>
      </w:r>
    </w:p>
    <w:p>
      <w:r>
        <w:t>Bundesgericht, 2021-08-19, FR</w:t>
      </w:r>
    </w:p>
    <w:p>
      <w:r>
        <w:rPr>
          <w:b/>
        </w:rPr>
        <w:t xml:space="preserve">Quelle: </w:t>
      </w:r>
      <w:r>
        <w:t>https://mcp.opencaselaw.ch/entscheid/bger_1B_259_2021</w:t>
      </w:r>
    </w:p>
    <w:p>
      <w:r>
        <w:t>FR: TF 1B 259/2021 du 19 août 2021</w:t>
      </w:r>
    </w:p>
    <w:p>
      <w:r>
        <w:t>IT: TF 1B 259/2021 del 19 agosto 2021</w:t>
      </w:r>
    </w:p>
    <w:p>
      <w:pPr>
        <w:pStyle w:val="Heading2"/>
      </w:pPr>
      <w:r>
        <w:t>Regeste</w:t>
      </w:r>
    </w:p>
    <w:p>
      <w:r>
        <w:t>Procédure pénale; qualité de victime LAVI | Procédure pénale</w:t>
      </w:r>
    </w:p>
    <w:p>
      <w:pPr>
        <w:pStyle w:val="Heading2"/>
      </w:pPr>
      <w:r>
        <w:t>Erwägungen</w:t>
      </w:r>
    </w:p>
    <w:p>
      <w:r>
        <w:rPr>
          <w:b/>
        </w:rPr>
        <w:t>E. 1</w:t>
      </w:r>
    </w:p>
    <w:p>
      <w:r>
        <w:t>La décision attaquée a été rendue dans le cadre d'une procédure pénale par une juridiction cantonale statuant en dernière instance et peut donc faire l'objet d'un recours en matière pénale au sens de l' art. 78 al. 1 LTF . La recourante, qui se voit dénier la qualité de victime au sens de l' art. 116 CPP , a pris part à la procédure devant l'autorité précédente et a un intérêt juridique à l'annulation ou à la réforme de la décision attaquée ( art. 81 LTF ; ATF 141 IV 1 consid. 1 et les références).</w:t>
      </w:r>
    </w:p>
    <w:p>
      <w:r>
        <w:rPr>
          <w:b/>
        </w:rPr>
        <w:t>E. 1.1</w:t>
      </w:r>
    </w:p>
    <w:p>
      <w:r>
        <w:t>La décision attaquée est de nature incidente car, même si la qualité de victime ne lui est pas reconnue à ce stade, la recourante peut continuer à participer à la procédure pénale. Se pose dès lors la question d'un préjudice irréparable au sens de l' art. 93 al. 1 let. a LTF . En matière pénale, le préjudice irréparable au sens de cette disposition se rapporte à un dommage de nature juridique qui ne puisse pas être réparé ultérieurement par un jugement final ou une autre décision favorable au recourant ( ATF 141 IV 284 consid. 2.2).</w:t>
      </w:r>
    </w:p>
    <w:p>
      <w:r>
        <w:rPr>
          <w:b/>
        </w:rPr>
        <w:t>E. 1.2</w:t>
      </w:r>
    </w:p>
    <w:p>
      <w:r>
        <w:t>La recourante affirme qu'en lui déniant la qualité de victime, le Ministère public la priverait de certains droits de parties, notamment celui de ne pas être confronté directement au prévenu. En effet, corollairement au refus d'admettre la qualité de victime de la recourante, le Ministère public n'a apparemment pas prévu d'aménager l'audience de conciliation de manière à éviter une confrontation directe entre les parties ( art. 152 al. 3 CPP ). Dans ces conditions, l'existence d'un préjudice irréparable peut être admise (cf. arrêt 1B_175/2021 du 16 avril 2021 consid. 2.2). Il y a lieu par conséquent d'entrer en matière.</w:t>
      </w:r>
    </w:p>
    <w:p>
      <w:r>
        <w:rPr>
          <w:b/>
        </w:rPr>
        <w:t>E. 2</w:t>
      </w:r>
    </w:p>
    <w:p>
      <w:r>
        <w:t>Sur le fond, la recourante se plaint d'une violation de l' art. 116 CPP et d'arbitraire dans l'établissement des faits. Elle relève qu'en début d'enquête, sa qualité de victime devrait être examinée sous l'angle de la vraisemblance. Sur le vu du rapport du 31 juillet 2020 de l'Unité de médecine des violences du Centre universitaire romand de médecine légale (UMV), de nombreuses lésions avaient été constatées, compatibles avec des lésions corporelles simples et non de simples voies de fait, en particulier les lésions à la gorge. La cour cantonale ne mentionnerait pas les actes de harcèlement téléphonique, les menaces, la poursuite en voiture, ni l'impact psychologique de ces agissements, ayant donné lieu à un arrêt de travail de quatre jours et à l'hébergement chez une amie durant deux semaines. En cas de doute, la cour cantonale aurait dû inviter la recourante à fournir les précisions nécessaires sur les séquelles de l'agression. La recourante invoque également les art. 3 et 56 de la Convention d'Istanbul, en relevant que la définition de la violence à l'égard des femmes, et donc les mesures de protections prévues à l'art. 56 de la convention, ne dépendraient pas d'une gravité particulière de l'atteinte.</w:t>
      </w:r>
    </w:p>
    <w:p>
      <w:r>
        <w:rPr>
          <w:b/>
        </w:rPr>
        <w:t>E. 2.1</w:t>
      </w:r>
    </w:p>
    <w:p>
      <w:r>
        <w:t>On entend par victime le lésé qui, du fait d'une infraction, a subi une atteinte directe à son intégrité physique, psychique ou sexuelle ( art. 116 al. 1 CPP ). Il s'agit donc d'une catégorie spéciale de lésé, qui jouit des droits procéduraux conférés à celui-ci, ainsi que de droits spécifiques notamment rappelés à l' art. 117 CPP ; cela se justifie essentiellement en raison des besoins de protection accrus des droits de la personnalité compte tenu de la nature des atteintes subies par la victime (arrêt 1B_342/2016 du 12 décembre 2016 consid. 2.1 et les réf. cit.). En principe, la qualité de victime au sens de l' art. 116 CPP est niée dans les cas d'infractions de mise en danger puisqu'elle implique une atteinte effective à l'intégrité corporelle, sexuelle ou psychique (cf. ATF 129 IV 95 consid. 3.1; 122 IV 71 consid. 3a; arrêt 1A.272/2004 du 31 mars 2005 consid. 4.1). Cela étant, une atteinte directe peut néanmoins être reconnue lorsque la personne mise en danger a souffert de troubles psychologiques en relation directe avec l'acte du délinquant (cf. arrêts 6B_327/2007 du 16 novembre 2007 consid. 2.1 et 1A.272/2004 du 31 mars 2005 consid. 4.1). L'atteinte subie doit revêtir une certaine importance. D'une manière générale, la notion de victime ne dépend pas de la qualification de l'infraction, mais de ses effets sur le lésé. En définitive, il faut déterminer si, au regard des conséquences de l'infraction en cause, le lésé pouvait légitimement invoquer le besoin de la protection prévue par la loi fédérale (cf. ATF 129 IV 216 consid. 1.2.1). Enfin, tant que les faits déterminants ne sont pas définitivement arrêtés, il suffit, pour admettre la qualité de victime au sens de l' art. 116 al. 1 CPP , que l'atteinte au sens de cette disposition soit rendue vraisemblable (cf. ATF 143 IV 154 consid. 2.3.3; 141 IV 1 consid. 3.1 et les réf. cit.).</w:t>
      </w:r>
    </w:p>
    <w:p>
      <w:r>
        <w:rPr>
          <w:b/>
        </w:rPr>
        <w:t>E. 2.2</w:t>
      </w:r>
    </w:p>
    <w:p>
      <w:r>
        <w:t>Sur le vu des pièces produites en instance cantonale (en particulier le rapport du 31 juillet 2020 de l'UMV, avec photographies), la recourante a subi quelques rougeurs au niveau du cuir chevelu, des ecchymoses au cou et aux bras ainsi que des dermabrasions au cou et au bras droit. Les atteintes physiques paraissent ainsi a priori relever de simples voies de fait. La recourante a certes été saisie au cou durant quelques secondes, mais n'a pas été empêchée de respirer et a pu se dégager d'elle-même. Elle a également été saisie au bras mais n'a ressenti qu'une brève douleur, également compatible avec une simple voie de fait. Le rapport médical évoque une oppression à la gorge dont se plaignait la recourante, des douleurs constantes au bras gauche avec une baisse de la mobilité. La recourante affirmait aussi présenter une hypervigilance, et avoir peur lorsqu'elle sortait de chez les amis qui l'hébergeaient. Elle mentionnait également une baisse d'appétit. La recourante n'a toutefois pas documenté l'arrêt de travail de quatre jours qu'elle prétendait avoir subi, ni l'hébergement par des amis durant un certain temps. Elle ne saurait faire reproche à la cour cantonale de ne pas avoir instruit cette question dès lors qu'elle était facilement à même d'obtenir les documents nécessaires et que le manque de preuves, s'agissant de l'atteinte psychique, était déjà relevé dans la décision du Ministère public. Le harcèlement téléphonique dont la recourante prétend avoir fait l'objet, les menaces qui auraient été proférées et les circonstances de la course-poursuite en voiture ne paraissent a priori pas non plus à même d'occasionner des séquelles psychiques suffisamment importantes, du moins en l'absence d'éléments objectifs qui rendent vraisemblables de telles atteintes. La recourante invoque en vain l'arrêt 6B_826/2019 du 21 janvier 2020, dès lors que cette cause a trait à des actes de violence et des menaces d'une gravité supérieure. L'appréciation des instances précédentes apparaît ainsi conforme au droit fédéral et aux pièces du dossier. Le grief doit être écarté.</w:t>
      </w:r>
    </w:p>
    <w:p>
      <w:r>
        <w:rPr>
          <w:b/>
        </w:rPr>
        <w:t>E. 2.3</w:t>
      </w:r>
    </w:p>
    <w:p>
      <w:r>
        <w:t>La recourante invoque également en vain les art. 3 et 56 let . f et g de la Convention d'Istanbul. En effet, la jurisprudence considère que les dispositions de cette convention ne créent pas de droits subjectifs en faveur des particuliers, mais seulement des obligations à l'égard des Etats parties. Cela ressort clairement du libellé de l'art. 56 (" Les Parties prennent les mesures législatives ou autres nécessaires... ") et des dispositions générales des art. 4 à 6 (Message du Conseil fédéral concernant l'approbation de la convention du Conseil de l'Europe sur la prévention et la lutte contre la violence à l'égard des femmes et la violence domestique [convention d'Istanbul], FF 2017 163, 237; arrêt 6B_1015/2019 du 4 décembre 2019 consid. 5.5.7; KÄLIN/KÜNZLI, Universeller Menschenrechtsschutz, 4e éd., 2019, no 11.67). La recourante ne saurait ainsi prétendre à ce que la qualité de victime lui soit reconnue à des conditions plus favorables que celles qui sont fixées par le droit fédéral.</w:t>
      </w:r>
    </w:p>
    <w:p>
      <w:r>
        <w:rPr>
          <w:b/>
        </w:rPr>
        <w:t>E. 3</w:t>
      </w:r>
    </w:p>
    <w:p>
      <w:r>
        <w:t>Sur le vu de ce qui précède, le recours est rejeté. La recourante a demandé l'assistance judiciaire et les conditions en paraissent réunies. Me Charlotte Iselin est désignée comme avocate d'office de la recourante et il lui est alloué une indemnité à titre d'honoraires,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