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1B_257/2019 vom 7. Oktober 2019</w:t>
      </w:r>
    </w:p>
    <w:p>
      <w:r>
        <w:t>Bundesgericht, 2019-10-07, FR</w:t>
      </w:r>
    </w:p>
    <w:p>
      <w:r>
        <w:rPr>
          <w:b/>
        </w:rPr>
        <w:t xml:space="preserve">Quelle: </w:t>
      </w:r>
      <w:r>
        <w:t>https://mcp.opencaselaw.ch/entscheid/bger_1B_257_2019</w:t>
      </w:r>
    </w:p>
    <w:p>
      <w:r>
        <w:t>FR: TF 1B_257/2019 du 7 octobre 2019</w:t>
      </w:r>
    </w:p>
    <w:p>
      <w:r>
        <w:t>IT: TF 1B_257/2019 del 7 ottobre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t>Conformément aux art. 78 et 92 al. 1 LTF , une décision relative à la récusation d'un magistrat pénal peut faire immédiatement l'objet d'un recours en matière pénale. Le recourant, qui a formulé la demande de récusation, a qualité pour recourir ( art. 81 al. 1 LTF ). Pour le surplus, le recours a été interjeté en temps utile ( art. 100 al. 1 LTF ) contre une décision rendue par une autorité cantonale statuant en tant qu'instance unique (art. 80 al. 2 in fine LTF) et les conclusions prises sont recevables ( art. 107 LTF ). Il y a donc lieu d'entrer en matière.</w:t>
      </w:r>
    </w:p>
    <w:p>
      <w:r>
        <w:rPr>
          <w:b/>
        </w:rPr>
        <w:t>E. 2</w:t>
      </w:r>
    </w:p>
    <w:p>
      <w:r>
        <w:t>Dans un premier grief d'ordre formel, le recourant invoque une violation de l'interdiction de l'arbitraire et se plaint d'une violation de son droit d'être entendu, en tant que la cour cantonale ne se serait pas prononcée, dans la décision attaquée, sur un certain nombre de circonstances mises en avant par le recourant dans sa requête du 28 février 2019 et dans ses déterminations du 4 avril 2019, lesquelles seraient potentiellement décisives sur l'issue de la demande de récusation. Invoquant les art. 30 al. 1 Cst. et 6 § 1 CEDH , le recourant demande ensuite la récusation de l'intimé pour plusieurs motifs.</w:t>
      </w:r>
    </w:p>
    <w:p>
      <w:r>
        <w:rPr>
          <w:b/>
        </w:rPr>
        <w:t>E. 2.1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arrêts 1C_44/2019 du 29 mai 2019 consid. 3.1; 1C_167/2015 du 18 août 2015 consid. 3; 2C_23/2009 du 25 mai 2009 consid. 3.1, in RDAF 2009 II p. 434).</w:t>
      </w:r>
    </w:p>
    <w:p>
      <w:r>
        <w:rPr>
          <w:b/>
        </w:rPr>
        <w:t>E. 2.2</w:t>
      </w:r>
    </w:p>
    <w:p>
      <w:r>
        <w:t>Le recourant ne se prévaut pas de l'un ou l'autre des motifs de récusation visés à l'art. 56 let. a à e CPP, de sorte que les griefs doivent être examinés au regard de l' art. 56 let . f CPP. Aux termes de cette disposition, un magistrat est récusable,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références citées).</w:t>
      </w:r>
    </w:p>
    <w:p>
      <w:r>
        <w:rPr>
          <w:b/>
        </w:rPr>
        <w:t>E. 2.3</w:t>
      </w:r>
    </w:p>
    <w:p>
      <w:r>
        <w:t>Le recourant soutient que les griefs suivants n'ont pas fait l'objet d'un examen concret dans la décision attaquée. Premièrement, il invoque le fait que l'organisation actuelle du Ministère public vaudois, laquelle comprend une division "affaires spéciales", émane de la volonté expresse du Conseil d'Etat dans le cadre du Projet Codex 2010. Ensuite, il souligne le fait que l'attribution d'enquêtes dites sensibles à une division spéciale du Ministère public ne repose sur aucune base légale formelle ni sur aucun critère clair et prévisible imposant ce choix. Il se plaint du fait que ce soit le Procureur général qui décide de la transmission d'un dossier à la division "affaires spéciales", sur la base de sa propre appréciation. Il souligne le fait que, dans ce cadre, l'intimé a confié au Procureur Christian Buffat la tâche d'instruire la cause n° PE17.002740 impliquant l'Etat de Vaud et la Conseillère d'Etat Jacqueline de Quattro ainsi que tous les dossiers en lien étroit avec l'enquête initiale ouverte à la suite des soupçons de pollution dont le groupe B.________ a fait l'objet et qui a été classée par ce magistrat. Le recourant soutient que l'instruction de l'ensemble de ces dossiers au sein même du Ministère public central - dont le Procureur intimé est le chef d'office - témoignerait d'une sensibilité particulière donnée à une affaire du fait que les intérêts de l'Etat de Vaud et de ses représentants sont en jeu. Enfin, le recourant soutient qu'en sa qualité de supérieur hiérarchique direct du Procureur Christian Buffat, l'intimé a eu la compétence de contrôler son travail et d'échanger avec lui sur l'orientation de l'affaire instruite contre le recourant en particulier. Il se prévaut de l'art. 23 al. 1 et 3 de la loi vaudoise sur le Ministère public qui prévoit que le Procureur général contrôle les enquêtes en cours et surveille l'activité des procureurs.</w:t>
      </w:r>
    </w:p>
    <w:p>
      <w:r>
        <w:t>Contrairement à ce que soutient le recourant, la cour cantonale s'est bel et bien prononcée sur l'existence d'une division des affaires spéciales. Elle a jugé que l'on ne pouvait conclure de l'existence de celle-ci au sein du Ministère public un manque d'indépendance vis-à-vis des intérêts des représentants de l'Etat. Elle a considéré à juste titre qu'un tel argument était institutionnel et abstrait et n'emportait à lui seul aucunement apparence de prévention du Procureur général (décision attaquée, consid. 3.4.2). Elle s'est également prononcée sur le courrier dont se prévaut le recourant pour reprocher au Procureur général d'être intervenu dans la procédure en soulignant que, dans ce courrier, le Procureur général répondait expressément à un courrier que lui avait fait parvenir le recourant le 16 novembre 2017 au sujet des causes PE16.014792-BUF et PE17.002740-BUF dans lequel il indiquait notamment que, le Procureur Christian Buffat étant en charge des causes concernées, c'était à lui qu'il convenait de transmettre ce courrier comme objet de sa compétence. L'instance précédente souligne à juste titre que l'on ne saurait voir dans cette réponse formelle, sollicitée par le recourant lui-même, une intervention dans l'enquête de nature à créer une apparence de prévention de son auteur, qui plus est près de 15 mois avant que celui-ci se saisisse du dossier (décision attaquée, consid. 3.5.2). Pour le surplus, la cour cantonale a jugé que les assertions du recourant quant au risque de partage d'informations ou d'accès à des données d'enquêtes liées, confidentielles ou non, n'étaient étayées par aucun indice susceptible de leur conférer une apparence de fiabilité. Or, comme elle l'a relevé à juste titre, il ne suffit pas de postuler qu'un tel partage d'informations ou de données est possible pour rendre vraisemblable l'existence d'un motif de récusation. Il s'ensuit que le droit d'être entendu du recourant n'a pas été violé. Le recourant ne démontre pas davantage que l'appréciation de la cour cantonale serait arbitraire.</w:t>
      </w:r>
    </w:p>
    <w:p>
      <w:r>
        <w:rPr>
          <w:b/>
        </w:rPr>
        <w:t>E. 2.4</w:t>
      </w:r>
    </w:p>
    <w:p>
      <w:r>
        <w:t>Le recourant soutient encore que le Procureur général intimé a déjà entretenu des liens avec plusieurs acteurs de la procédure, en plus du Procureur Christian Buffat, en sa qualité de membre de la "division spéciale" du Ministère public central. Le recourant expose qu'il entretient, depuis bientôt 15 ans, des contacts réguliers avec le Conseil d'Etat et ses membres, ce qui ne permettrait pas d'exclure tout doute légitime de partialité, au moins au stade des apparences. Il rappelle également que la surveillance du Ministère public, dont il est le chef, relève par ailleurs de la compétence du Conseil d'Etat, ce dernier étant habilité à donner au Ministère public des instructions de portée générale en matière d'administration ou de finances (art. 21 al. 2 et 3 LMPu).</w:t>
      </w:r>
    </w:p>
    <w:p>
      <w:r>
        <w:t>Sur ce point, la cour cantonale a jugé que les circonstances invoquées par le recourant tendant à nier la réalité de l'indépendance du Procureur général vis-à-vis du Conseil d'Etat ou de l'un de ses membres étaient de nature purement institutionnelle. Elles ne suffisaient pas pour créer une apparence de la prévention, ni ne faisaient redouter une activité partiale du Procureur général. Elle a considéré qu'en définitive, les impressions subjectives du recourant, qui allait jusqu'à connaître la disposition intime, prétendument de subordination, du Procureur général à l'égard du pouvoir exécutif, étaient insuffisantes à fonder un motif de récusation. Une telle argumentation est conforme au droit fédéral, étant relevé que le recours ne comporte aucune démonstration que l'issue du litige est d'ores et déjà scellée.</w:t>
      </w:r>
    </w:p>
    <w:p>
      <w:r>
        <w:t>Enfin, dans un dernier grief, le recourant invoque des soupçons de contacts téléphoniques non verbalisés entre le Ministère public et la Conseillère d'Etat Jacqueline de Quattro qui auraient été établis dans le cadre de cette affaire, sans que ces soupçons n'aient été dissipés à ce jour par le Parquet et la cour cantonale. Force est de constater que le recourant se fonde sur des faits qui n'ont pas été constatés ni allégués devant l'autorité précédente, sans invoquer et démontrer l'arbitraire de leur omission, conformément aux exigences posées par l' art. 106 al. 2 LTF , de sorte que son grief est irrecevable. Au demeurant, aucun fait précis en relation avec cette affaire n'est établi ni même allégué.</w:t>
      </w:r>
    </w:p>
    <w:p>
      <w:r>
        <w:rPr>
          <w:b/>
        </w:rPr>
        <w:t>E. 3</w:t>
      </w:r>
    </w:p>
    <w:p>
      <w:r>
        <w:t>Il s'ensuit que le recours est rejeté dans la mesure où il est 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