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257/2014 vom 6. August 2014</w:t>
      </w:r>
    </w:p>
    <w:p>
      <w:r>
        <w:t>Bundesgericht, 2014-08-06, DE</w:t>
      </w:r>
    </w:p>
    <w:p>
      <w:r>
        <w:rPr>
          <w:b/>
        </w:rPr>
        <w:t xml:space="preserve">Quelle: </w:t>
      </w:r>
      <w:r>
        <w:t>https://mcp.opencaselaw.ch/entscheid/bger_1B_257_2014</w:t>
      </w:r>
    </w:p>
    <w:p>
      <w:r>
        <w:t>FR: TF 1B 257/2014 du 6 août 2014</w:t>
      </w:r>
    </w:p>
    <w:p>
      <w:r>
        <w:t>IT: TF 1B 257/2014 del 6 agosto 2014</w:t>
      </w:r>
    </w:p>
    <w:p>
      <w:pPr>
        <w:pStyle w:val="Heading2"/>
      </w:pPr>
      <w:r>
        <w:t>Regeste</w:t>
      </w:r>
    </w:p>
    <w:p>
      <w:r>
        <w:t>Untersuchungshaft | Strafprozess</w:t>
      </w:r>
    </w:p>
    <w:p>
      <w:pPr>
        <w:pStyle w:val="Heading2"/>
      </w:pPr>
      <w:r>
        <w:t>Erwägungen</w:t>
      </w:r>
    </w:p>
    <w:p>
      <w:r>
        <w:rPr>
          <w:b/>
        </w:rPr>
        <w:t>E. 1</w:t>
      </w:r>
    </w:p>
    <w:p>
      <w:r>
        <w:t>Die Sachurteilserfordernisse von Art. 78 ff. BGG sind grundsätzlich erfüllt und geben zu keinen Vorbemerkungen Anlass.</w:t>
      </w:r>
    </w:p>
    <w:p>
      <w:r>
        <w:rPr>
          <w:b/>
        </w:rPr>
        <w:t>E. 2</w:t>
      </w:r>
    </w:p>
    <w:p>
      <w:r>
        <w:t>Der Beschwerdeführer bestreitet den dringenden Tatverdacht seiner Beteiligung an einem Verbrechen nicht (Art. 221 Abs. 1 Ingress StPO). Eher beiläufig rügt er, die kantonalen Instanzen hätten zu Unrecht den besonderen Haftgrund der Fluchtgefahr ( Art. 221 Abs. 1 lit. a StPO ) bejaht. Er habe "ausgeprägt internationale Familienverhältnisse". Sein Lebensmittelpunkt befinde sich in Rumänien, seine Mutter wohne in Italien. Deshalb werde er sich den Schweizer Strafjustizbehörden (auch nach einer Haftentlassung) zur Verfügung halten und seine Reisemobilität nicht durch einen internationalen Verhaftsbefehl gefährden.</w:t>
      </w:r>
    </w:p>
    <w:p>
      <w:r>
        <w:rPr>
          <w:b/>
        </w:rPr>
        <w:t>E. 2.1</w:t>
      </w:r>
    </w:p>
    <w:p>
      <w:r>
        <w:t>Es kann offen bleiben, ob der Beschwerdeführer mit diesen Vorbringen den kantonalen Instanzenzug in gesetzlich vorgeschriebener Weise erschöpft hat ( Art. 80 Abs. 1 und Art. 99 Abs. 1 BGG i.V.m. Art. 222 StPO ). Die Vorinstanz erwägt, der Beschwerdeführer habe gegen die vom Zwangsmassnahmengericht festgestellte Fluchtgefahr keine substanziierten Rügen erhoben (vgl. angefochtener Entscheid, S. 3 E. 4.1). Dieser stellt sich auf den Standpunkt, er habe sich im kantonalen Beschwerdeverfahren gegen diesen Haftgrund gewandt, indem er geltend machte, die Haftgründe seien "lediglich vorgeschoben".</w:t>
      </w:r>
    </w:p>
    <w:p>
      <w:r>
        <w:rPr>
          <w:b/>
        </w:rPr>
        <w:t>E. 2.2</w:t>
      </w:r>
    </w:p>
    <w:p>
      <w:r>
        <w:t>Wie es sich damit verhält, braucht nicht näher geprüft zu werden. Die Vorinstanz hat die Annahme von Fluchtgefahr ( Art. 221 Abs. 1 lit. a StPO ) materiell bestätigt und zur Begründung auf die Erwägungen im Haftverlängerungsentscheid vom 17. Juni 2014 des Zwangsmassnahmengerichtes (und in einer weiteren Verfügung vom 23. Mai 2014) verwiesen. Darin ist im Lichte der einschlägigen Rechtsprechung des Bundesgerichtes (vgl. BGE 125 I 60 E. 3a S. 62 ; 123 I 31 E. 3d S. 36 f., 117 Ia 69 E. 4a S. 70) keine Bundesrechtswidrigkeit zu erkennen: Für Fluchtgefahr sprechen namentlich die dem Beschwerdeführer drohende empfindliche Freiheitsstrafe, seine persönlichen Verhältnisse (Lebensmittelpunkt in Rumänien, keine sozialen Bezugspunkte betreffend Familie oder Arbeitsplatz in der Schweiz, Wohnsitz der Mutter in Italien) und der Umstand, dass er bereits einmal auf dem Rechtshilfeweg aus Österreich an die Schweizer Justizbehörden ausgeliefert werden musste.</w:t>
      </w:r>
    </w:p>
    <w:p>
      <w:r>
        <w:rPr>
          <w:b/>
        </w:rPr>
        <w:t>E. 3</w:t>
      </w:r>
    </w:p>
    <w:p>
      <w:r>
        <w:t>Zur Hauptsache rügt der Beschwerdeführer, die Verlängerung der Haft verletze in krasser Weise das Beschleunigungsgebot in Haftsachen. Der Strafprozess sei seit dem 3. April 2014 "spruch- und erledigungsreif". Die streitige Haftverlängerung sei "einzig und alleine" auf einen Kompetenzkonflikt zwischen den Kantonen Luzern und Waadt (in den Monaten Mai und Juni 2014) zurückzuführen sowie auf den Mehraufwand, welcher der Übergabe an einen "fremdsprachigen Kanton" geschuldet sei. Dabei handle es sich um prozessuale Zufallsereignisse. Auch das föderale Schweizer Rechtssystem habe nicht er zu verantworten. Die Haftfortdauer erscheine überdies unverhältnismässig. Er sei geständig und als Ersttäter zu beurteilen. Sein Tatbeitrag erscheine gering. Deswegen erwarte er eine bedingte Freiheitsstrafe am unteren Rand des Strafrahmens. Das Haftregime der Untersuchungshaft sei zudem (zur Vermeidung von Kollusion) bisher restriktiv gewesen. Der Beschwerdeführer rügt in diesem Zusammenhang insbesondere eine Verletzung von Art. 5 Ziff. 3 EMRK und Art. 5 Abs. 2 StPO .</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Der blosse Umstand, dass die Gewährung eines bedingten oder teilbedingten Strafvollzuges durch den Strafrichter nicht ausgeschlossen werden kann, lässt die Untersuchungshaft in der Regel noch nicht als unverhältnismässig erscheinen ( BGE 125 I 60 E. 3d S. 64 ; 124 I 208 E. 6 S. 215; Urteil 1B_148/2012 vom 2. April 2012 E. 6.1; vgl. zur betreffenden Praxis auch Marc Forster, Basler Kommentar StPO, Basel 2011, Art. 227 N. 9). Erstandene Auslieferungshaft ist an die zulässige Dauer der strafprozessualen Haft grundsätzlich anzurechnen ( BGE 133 I 168 E. 4.1 S. 171). Im Weiteren kann eine Haft die bundesrechtskonforme Dauer auch dann überschreiten, wenn das Strafverfahren nicht genügend vorangetrieben wird (vgl.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 BGE 137 IV 92 E. 3.1 S. 96 ; 133 I 168 E. 4.1 S. 170 f.; 270 E. 3.4.2 S. 281 ; 132 I 21 E. 4.1 S. 27 f.; Urteile 1B_41/2013 vom 27. Februar 2013 E. 3; 1B_732/2011 vom 19. Januar 2012 E. 6.3; je mit Hinweisen).</w:t>
      </w:r>
    </w:p>
    <w:p>
      <w:r>
        <w:rPr>
          <w:b/>
        </w:rPr>
        <w:t>E. 3.2</w:t>
      </w:r>
    </w:p>
    <w:p>
      <w:r>
        <w:t>Die kantonalen Instanzen werfen dem Beschwerdeführer Teilnahme an bandenmässigen (evtl. gewerbsmässigen) Einbruchdiebstählen vor. Die Täterschaft habe sich auf Elektronik-Fachgeschäfte spezialisiert. In einem der untersuchten Fälle habe die Deliktssumme Fr. 93'551.-- betragen. Der Beschwerdeführer habe sich insbesondere als Fahrer und Schmuggler von Diebesgut über die Landesgrenzen betätigt. Bei seiner Festnahme habe er vier Sporttaschen mit Beute mit sich geführt, darunter 145 Smartphones und sieben elektronische Tablets. Für einfachen Diebstahl beträgt die Strafobergrenze Freiheitsstrafe bis zu fünf Jahren, bei bandenmässiger Tatbegehung bis zu 10 Jahren (Art. 139 Ziff. 1 bzw. Ziff. 3 StGB). Der Beschwerdeführer befindet sich seit knapp fünf Monaten in Untersuchungshaft. Bei Anrechnung der in Österreich erstandenen Auslieferungshaft beträgt die bisherige Haftdauer knapp acht Monate. Diese Haftdauer ist noch nicht in grosse Nähe der im Falle einer strafrechtlichen Verurteilung wegen (qualifizierten) Einbruchdiebstählen konkret zu erwartenden Freiheitsstrafe gerückt. Inwiefern bei Teilnahme an bandenmässigen Einbruchdiebstählen mit erheblicher Deliktssumme ein teilbedingter (oder sogar noch ein vollbedingter) Strafvollzug in Frage käme, ist nach der dargelegten Praxis vom Strafrichter zu beurteilen. Die zu erwartende Sanktion bildet im vorliegenden Fall keinen Haftentlassungsgrund.</w:t>
      </w:r>
    </w:p>
    <w:p>
      <w:r>
        <w:rPr>
          <w:b/>
        </w:rPr>
        <w:t>E. 3.3</w:t>
      </w:r>
    </w:p>
    <w:p>
      <w:r>
        <w:t>Dass Zuständigkeitsfragen zwischen den Behörden der betroffenen Kantone (gestützt auf Art. 39 StPO ) zu klären und ein Auslieferungsverfahren mit Österreich durchzuführen waren, liegt im Umstand begründet, dass die Einbrecherbande, welcher der Beschwerdeführer aufgrund der bisherigen Untersuchungsergebnisse angehört habe, in mehreren Kantonen deliktisch tätig war und die Beute zudem über die Landesgrenzen verschob. Die Vorinstanz legt dar, dass die Behörden von drei Kantonen (Luzern, Wallis und Waadt) sowie des Bundeslandes Oberösterreich in einem Sammelverfahren an den Ermittlungen beteiligt gewesen seien. Der polizeiliche Schlussbericht der Kantonspolizei Emmen datiere vom 1. Mai 2014. Am 13. Mai 2014 habe die Luzerner Staatsanwaltschaft die Waadtländer Staatsanwaltschaft um Verfahrensübernahme ersucht, da im Kanton Waadt die ersten konnexen Ermittlungshandlungen stattgefunden hätten und dort gegen zwei mitbeteiligte mutmassliche Bandenmitglieder bereits ein Strafverfahren anhängig sei. Nach entsprechenden Abklärungen habe die Waadtländer Staatsanwaltschaft am 18. Juni 2014 das Strafverfahren gegen den Beschwerdeführer übernommen. Das Vorbringen des Beschwerdeführers, das Strafverfahren wegen Teilnahme an bandenmässigen Einbruchdiebstählen sei schon am 3. April 2014 (somit knapp vier Monate nach dem letzten untersuchten Delikt und drei Wochen nach seiner Auslieferung in die Schweiz) "spruch- und erledigungsreif" gewesen, findet in den Akten keine Stütze. In diesem Zusammenhang sind auch keine behördlichen Versäumnisse ersichtlich, die (im Sinne der oben dargelegten Praxis) eine sofortige Haftentlassung als geboten erscheinen liessen. Die vom Beschwerdeführer beanstandete Untersuchungsführung durch die Waadtländer Behörden ab 18. Juni 2014 (Ferienabwesenheit des zuständigen Staatsanwaltes usw.) bildet im Übrigen noch nicht Gegenstand des hier streitigen Haftverlängerungsentscheides vom 17. Juni 2014. Das ebenfalls noch angerufene Rechtsgleichheitsgebot ( Art. 8 Abs. 1 BV ), das Willkürverbot ( Art. 9 BV ) oder die Regeln über den Abschluss der Strafuntersuchung ( Art. 318 StPO ) haben im vorliegenden Zusammenhang keine über das bereits Dargelegte hinausgehende selbstständige Bedeutung.</w:t>
      </w:r>
    </w:p>
    <w:p>
      <w:r>
        <w:rPr>
          <w:b/>
        </w:rPr>
        <w:t>E. 3.4</w:t>
      </w:r>
    </w:p>
    <w:p>
      <w:r>
        <w:t>Was die vom Beschwerdeführer auch noch beiläufig beanstandeten Vollzugsbedingungen der Untersuchungshaft (Besuchsrecht, Einzelhaftvollzug usw.) betrifft, wären diese, soweit die materiellen Haftvoraussetzungen erfüllt sind, nötigenfalls mit (der kantonalrechtlich normierten) Vollzugsbeschwerde zu prüfen ( Art. 235 Abs. 5 StPO ; vgl. BGE 140 I 125 E. 2.2 S. 129). Insoweit ist auf die betreffenden Rügen im Rahmen der Haftbeschwerde ( Art. 222 StPO i.V.m. Art. 78 ff. BGG ) nicht einzutreten. Im Übrigen verkennt der Beschwerdeführer, dass das Haftregime während der Untersuchungshaft eine ungestörte Strafuntersuchung zu gewährleisten hat. Dazu gehört (neben der Aufrechterhaltung der Sicherheit im Untersuchungsgefängnis) insbesondere die Vermeidung von Flucht und von allgemeiner (nicht spezifischer) Kollusionsgefahr (vgl. Art. 235 Abs. 1-3 StPO ). Auch in diesem Zusammenhang ist (im Rahmen einer akzessorischen Prüfung der Verhältnismässigkeit der Haft) kein Haftentlassungsgrund dargetan.</w:t>
      </w:r>
    </w:p>
    <w:p>
      <w:r>
        <w:rPr>
          <w:b/>
        </w:rPr>
        <w:t>E. 4</w:t>
      </w:r>
    </w:p>
    <w:p>
      <w:r>
        <w:t>Die Beschwerde ist abzuweisen, soweit darauf eingetreten werden kann. Der Beschwerdeführer stellt ein Gesuch um unentgeltliche Rechtspflege. Er ist amtlich verteidigt, befindet sich schon seit längerer Zeit in Untersuchungshaft und legt seine finanzielle Bedürftigkeit glaubhaft dar. Da seine Haftbeschwerde auch nicht in allen Punkten als zum Vornherein geradezu aussichtslos erscheint, sind die gesetzlichen Voraussetzungen der unentgeltlichen Rechtspflege erfüllt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