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256/2022 vom 30. Mai 2022</w:t>
      </w:r>
    </w:p>
    <w:p>
      <w:r>
        <w:t>Bundesgericht, 2022-05-30, DE</w:t>
      </w:r>
    </w:p>
    <w:p>
      <w:r>
        <w:rPr>
          <w:b/>
        </w:rPr>
        <w:t xml:space="preserve">Quelle: </w:t>
      </w:r>
      <w:r>
        <w:t>https://mcp.opencaselaw.ch/entscheid/bger_1B_256_2022</w:t>
      </w:r>
    </w:p>
    <w:p>
      <w:r>
        <w:t>FR: TF 1B 256/2022 du 30 mai 2022</w:t>
      </w:r>
    </w:p>
    <w:p>
      <w:r>
        <w:t>IT: TF 1B 256/2022 del 30 maggio 2022</w:t>
      </w:r>
    </w:p>
    <w:p>
      <w:pPr>
        <w:pStyle w:val="Heading2"/>
      </w:pPr>
      <w:r>
        <w:t>Regeste</w:t>
      </w:r>
    </w:p>
    <w:p>
      <w:r>
        <w:t>Verlängerung der Untersuchungshaft | Strafprozess</w:t>
      </w:r>
    </w:p>
    <w:p>
      <w:pPr>
        <w:pStyle w:val="Heading2"/>
      </w:pPr>
      <w:r>
        <w:t>Erwägungen</w:t>
      </w:r>
    </w:p>
    <w:p>
      <w:r>
        <w:rPr>
          <w:b/>
        </w:rPr>
        <w:t>E. 1</w:t>
      </w:r>
    </w:p>
    <w:p>
      <w:r>
        <w:t>Die Staatsanwaltschaft Winterthur/Unterland führt gegen A.________ eine Strafuntersuchung wegen Urkundenfälschung etc. Mit Verfügung des Zwangsmassnahmengerichts des Bezirks Dielsdorf vom 13. Oktober 2021 wurde A.________ in Untersuchungshaft versetzt. Am 10. Januar 2022 verfügte das Zwangsmassnahmengericht die Verlängerung der Untersuchungshaft bis zum 10. April 2022. Dagegen erhob A.________ Beschwerde, welche die III. Strafkammer des Obergerichts des Kantons Zürich mit Beschluss vom 4. Februar 2022 abwies. Das Zwangsmassnahmengericht verlängerte mit Verfügung vom 8. April 2022 die Untersuchungshaft bis zum 8. Juli 2022. Dagegen erhob A.________ am 21. April 2022 Beschwerde, welche die III. Strafkammer des Obergerichts des Kantons Zürich mit Beschluss vom 5. Mai 2022 abwies. Sie bejahte dabei den allgemeinen Haftgrund des dringenden Tatverdachts sowie den besonderen Haftgrund der Fluchtgefahr. Weiter erachtete die III. Strafkammer die Verlängerung der Untersuchungshaft als verhältnismässig.</w:t>
      </w:r>
    </w:p>
    <w:p>
      <w:r>
        <w:rPr>
          <w:b/>
        </w:rPr>
        <w:t>E. 2</w:t>
      </w:r>
    </w:p>
    <w:p>
      <w:r>
        <w:t>A.________ führt mit Eingabe vom 25. Mai 2022 Beschwerde in Strafsachen gegen den Beschluss der III. Strafkammer des Obergerichts des Kantons Zürich. Das Bundesgericht verzichtet auf die Einholung von Vernehmlassungen.</w:t>
      </w:r>
    </w:p>
    <w:p>
      <w:r>
        <w:rPr>
          <w:b/>
        </w:rPr>
        <w:t>E. 3</w:t>
      </w:r>
    </w:p>
    <w:p>
      <w:r>
        <w:t>Der Beschwerdeführer ersucht um Erstreckung der Beschwerdefrist, damit ein neuer amtlicher Verteidiger seine Beschwerde noch ergänzen könne. Die Beschwerdefrist kann als eine gesetzliche Frist nicht erstreckt werden ( Art. 47 Abs. 1 BGG ). Dem Gesuch kann somit nicht entsprochen werden.</w:t>
      </w:r>
    </w:p>
    <w:p>
      <w:r>
        <w:rPr>
          <w:b/>
        </w:rPr>
        <w:t>E. 4</w:t>
      </w:r>
    </w:p>
    <w:p>
      <w:r>
        <w:t>Nach Art. 42 Abs. 2 BGG ist in der Begründung einer Beschwerde in gedrängter Form darzulegen, inwiefern der angefochtene Entscheid Recht verletzt. Die III. Strafkammer legte dar, weshalb sie die Haftvoraussetzungen als erfüllt erachtete. Der Beschwerdeführer, der keinen zulässigen Beschwerdegrund nennt, setzt sich mit diesen Ausführungen nicht auseinander. Er legt nicht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