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1B_255/2019 vom 4. Juni 2019</w:t>
      </w:r>
    </w:p>
    <w:p>
      <w:r>
        <w:t>Bundesgericht, 2019-06-04, DE</w:t>
      </w:r>
    </w:p>
    <w:p>
      <w:r>
        <w:rPr>
          <w:b/>
        </w:rPr>
        <w:t xml:space="preserve">Quelle: </w:t>
      </w:r>
      <w:r>
        <w:t>https://mcp.opencaselaw.ch/entscheid/bger_1B_255_2019</w:t>
      </w:r>
    </w:p>
    <w:p>
      <w:r>
        <w:t>FR: TF 1B_255/2019 du 4 juin 2019</w:t>
      </w:r>
    </w:p>
    <w:p>
      <w:r>
        <w:t>IT: TF 1B_255/2019 del 4 giugno 2019</w:t>
      </w:r>
    </w:p>
    <w:p>
      <w:pPr>
        <w:pStyle w:val="Heading2"/>
      </w:pPr>
      <w:r>
        <w:t>Erwägungen</w:t>
      </w:r>
    </w:p>
    <w:p>
      <w:r>
        <w:rPr>
          <w:b/>
        </w:rPr>
        <w:t>E. 1</w:t>
      </w:r>
    </w:p>
    <w:p>
      <w:r>
        <w:t>Die Privatkläger A.________ und B.________ erhoben am 13. Mai 2019 Beschwerde gegen eine Verfügung der Staatsanwaltschaft des Kantons Basel-Stadt und ersuchten um Gewährung der unentgeltlichen Rechtspflege. Mit Verfügung vom 17. Mai 2019 wies das Appellationsgericht des Kantons Basel-Stadt das Gesuch um unentgeltliche Rechtspflege ab und forderte A.________ und B.________ auf, bis zum 11. Juni 2019 einen Kostenvorschuss (Sicherheitsleistung im Sinne von Art. 383 StPO ) zu leisten, ansonsten auf das Rechtsmittel nicht eingetreten werde. Zur Begründung führte das Appellationsgericht zusammenfassend aus, dass die Beschwerde keine stichhaltigen Rügen enthalte und deshalb als aussichtslos erscheine. Auch eine Rechtsverzögerung sei angesichts einer dreimonatigen Untätigkeit der Untersuchungsbehörde bei summarischer Prüfung des Anzeigeinhalts (angeblicher Einbruch in Festnetztelefon und E-Mailadressen) nicht zu erkennen.</w:t>
      </w:r>
    </w:p>
    <w:p>
      <w:r>
        <w:rPr>
          <w:b/>
        </w:rPr>
        <w:t>E. 2</w:t>
      </w:r>
    </w:p>
    <w:p>
      <w:r>
        <w:t>A.________ und B.________ führen mit Eingabe vom 23. Mai 2019 Beschwerde in Strafsachen gegen die Verfügung des Appellationsgerichts des Kantons Basel-Stadt.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Die Beschwerdeführer beanstanden die angefochtene Verfügung in allgemeiner Weise. Sie legen indessen nicht konkret und im Einzelnen dar, inwiefern das Appellationsgericht die Erfolgsaussichten ihrer Beschwerde in rechtswidriger Weise beurteilt hätte. Aus ihrer Beschwerde ergibt sich nicht nachvollziehbar, inwiefern die Begründung des Appellationsgerichts, die zur Abweisung des Gesuchs um unentgeltliche Rechtspflege führte, bzw. die Verfügung des Appellationsgerichts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