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255/2015 vom 12. August 2015</w:t>
      </w:r>
    </w:p>
    <w:p>
      <w:r>
        <w:t>Bundesgericht, 2015-08-12, FR</w:t>
      </w:r>
    </w:p>
    <w:p>
      <w:r>
        <w:rPr>
          <w:b/>
        </w:rPr>
        <w:t xml:space="preserve">Quelle: </w:t>
      </w:r>
      <w:r>
        <w:t>https://mcp.opencaselaw.ch/entscheid/bger_1B_255_2015</w:t>
      </w:r>
    </w:p>
    <w:p>
      <w:r>
        <w:t>FR: TF 1B 255/2015 du 12 août 2015</w:t>
      </w:r>
    </w:p>
    <w:p>
      <w:r>
        <w:t>IT: TF 1B 255/2015 del 12 agosto 2015</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dans le délai fixé à l' art. 100 al. 1 LTF contre une décision prise en dernière instance cantonale ( art. 233 CPP et 80 LTF). Le recourant, dont la mise en détention a été confirmée, a qualité pour agir (art. 81 al. 1 let. a et b ch. 1 LTF) et les conclusions présentées sont recevables au regard de l' art. 107 al. 2 LTF .</w:t>
      </w:r>
    </w:p>
    <w:p>
      <w:r>
        <w:rPr>
          <w:b/>
        </w:rPr>
        <w:t>E. 2</w:t>
      </w:r>
    </w:p>
    <w:p>
      <w:r>
        <w:t>Une mesure de détention provisoire ou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rPr>
          <w:b/>
        </w:rPr>
        <w:t>E. 3</w:t>
      </w:r>
    </w:p>
    <w:p>
      <w:r>
        <w:t>Compte tenu du jugement de première instance, le recourant ne nie pas l'existence de charges suffisantes, même s'il se défend d'avoir commis un homicide par négligence. Il conteste en revanche l'existence de risques de récidive et de fuite. Il relève n'avoir jamais été condamné pénalement pour violation de la LCR. Le risque de récidive avait été retenu sur la base de cinq mesures administratives prononcées au cours des dix dernières années. Les trois infractions constatées (conduite sous le coup d'un retrait de permis et sans assurance RC) ne seraient pas suffisamment graves ni susceptibles de récidive. Le Ministère public n'avait d'ailleurs pas précédemment ordonné de mise en détention pour ce motif, et rien dans le comportement du recourant durant les quinze derniers mois (et notamment après la seconde infraction de conduite sans permis), ne permettrait d'accréditer le risque de réitération. Les assertions quant au manque de respect pour les décisions administratives ou à la désinvolture du recourant seraient sans pertinence pour admettre un risque de réitération. En réplique, le recourant relève que la présente cause se distinguerait de l'arrêt du 11 septembre 2008 (1B_236/2008) où la personne détenue se voyait reprocher des actes de violence répétés.</w:t>
      </w:r>
    </w:p>
    <w:p>
      <w:r>
        <w:rPr>
          <w:b/>
        </w:rPr>
        <w:t>E. 3.1</w:t>
      </w:r>
    </w:p>
    <w:p>
      <w:r>
        <w:t>Aux termes de l' art. 221 al. 1 let . c CPP, la détention provisoire ou pour des motifs de sûreté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Compte tenu des principes rappelés ci-dessus, le risque de réitération ne saurait se limiter à des infractions au code de la route comme la conduite sans permis ou même sans assurance responsabilité civile. Il conviendrait de démontrer que l'attitude du recourant comporte un danger grave pour la vie ou l'intégrité corporelle d'autres personnes, par exemple en se livrant à nouveau à un comportement routier tel que celui qui a conduit à sa condamnation. Or, s'il résulte des antécédents du recourant que celui-ci pourrait reprendre le volant en dépit des mesures dont il fait l'objet, il n'est en revanche pas prétendu qu'il se montrerait systématiquement dangereux lorsqu'il conduit un véhicule automobile, même si le Ministère public relève qu'il ne semble pas avoir pris conscience des risques liés à la vitesse. Il n'est dès lors pas certain qu'un risque de récidive puisse être retenu dans le cas particulier. La question peut néanmoins demeurer indécise car le risque de fuite apparaît quant à lui indéniable.</w:t>
      </w:r>
    </w:p>
    <w:p>
      <w:r>
        <w:rPr>
          <w:b/>
        </w:rPr>
        <w:t>E. 4</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125 I 60 consid. 3a p. 62 et les arrêts cités). Il est sans importance que l'extradition du prévenu puisse être obtenue ( ATF 123 I 31 consid. 3d p. 36 s.).</w:t>
      </w:r>
    </w:p>
    <w:p>
      <w:r>
        <w:rPr>
          <w:b/>
        </w:rPr>
        <w:t>E. 4.1</w:t>
      </w:r>
    </w:p>
    <w:p>
      <w:r>
        <w:t>Le recourant relève qu'il n'a pas pris la fuite lorsque les charges ont été étendues à l'infraction de meurtre le 19 mars 2013. Au contraire, le Ministère public avait allégé les mesures de substitution le 3 mars 2014, en remplaçant le contrôle hebdomadaire par un contrôle mensuel. Arrivé à Genève à quinze ans en 1995, le recourant a obtenu un permis C et exercé des emplois réguliers jusqu'à son incarcération; sa soeur, devenue suissesse, habite également en Suisse; aucun contact n'aurait été gardé avec son pays d'origine. En couple depuis quinze ans et père de trois jeunes enfants, dans une situation financière difficile, il n'aurait ni raison ni moyens de fuir.</w:t>
      </w:r>
    </w:p>
    <w:p>
      <w:r>
        <w:rPr>
          <w:b/>
        </w:rPr>
        <w:t>E. 4.2</w:t>
      </w:r>
    </w:p>
    <w:p>
      <w:r>
        <w:t>La référence du recourant aux faits et décisions intervenus précédemment durant l'instruction est sans pertinence, dès lors qu'une condamnation a désormais été rendue en première instance. Le recourant a certes fait appel de sa condamnation et pourrait ainsi espérer une libération du chef d'homicide. Le Procureur ayant toutefois également fait appel en persistant à requérir une condamnation pour homicide intentionnel, le recourant peut également craindre une peine plus sévère. Cela étant, après la condamnation prononcée par le tribunal, la perspective de passer plusieurs années en prison apparaît désormais concrète, ce qui n'était pas forcément le cas auparavant (cf. ATF 139 IV 270 consid. 3.1). Le recourant est de nationalité étrangère et ne dispose plus d'un travail en Suisse. Quand bien même sa mère et sa soeur demeurent en Suisse, sa compagne et ses trois enfants résident en France voisine. Le recourant habite avec eux et déclare lui-même qu'il s'agit de son attache principale. La tentation de fuir, ne serait-ce qu'en France voisine, ou d'entrer dans la clandestinité pour échapper à une condamnation est ainsi évidente. Compte tenu de cette nouvelle situation, aucune des mesures de substitution prononcées précédemment n'apparaît propre à pallier le risque de fuite.</w:t>
      </w:r>
    </w:p>
    <w:p>
      <w:r>
        <w:rPr>
          <w:b/>
        </w:rPr>
        <w:t>E. 5</w:t>
      </w:r>
    </w:p>
    <w:p>
      <w:r>
        <w:t>Le recours doit par conséquent être rejeté. Le recourant a demandé l'assistance judiciaire et les conditions en paraissent réunies ( art. 64 al. 1 LTF ). Il y a lieu de désigner Me Xavier-Marcel Copt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