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254/2014 vom 29. Juli 2014</w:t>
      </w:r>
    </w:p>
    <w:p>
      <w:r>
        <w:t>Bundesgericht, 2014-07-29, DE</w:t>
      </w:r>
    </w:p>
    <w:p>
      <w:r>
        <w:rPr>
          <w:b/>
        </w:rPr>
        <w:t xml:space="preserve">Quelle: </w:t>
      </w:r>
      <w:r>
        <w:t>https://mcp.opencaselaw.ch/entscheid/bger_1B_254_2014</w:t>
      </w:r>
    </w:p>
    <w:p>
      <w:r>
        <w:t>FR: TF 1B 254/2014 du 29 juillet 2014</w:t>
      </w:r>
    </w:p>
    <w:p>
      <w:r>
        <w:t>IT: TF 1B 254/2014 del 29 luglio 2014</w:t>
      </w:r>
    </w:p>
    <w:p>
      <w:pPr>
        <w:pStyle w:val="Heading2"/>
      </w:pPr>
      <w:r>
        <w:t>Regeste</w:t>
      </w:r>
    </w:p>
    <w:p>
      <w:r>
        <w:t>Entlassung aus dem vorzeitigen Strafvollzug | Strafprozess</w:t>
      </w:r>
    </w:p>
    <w:p>
      <w:pPr>
        <w:pStyle w:val="Heading2"/>
      </w:pPr>
      <w:r>
        <w:t>Erwägungen</w:t>
      </w:r>
    </w:p>
    <w:p>
      <w:r>
        <w:rPr>
          <w:b/>
        </w:rPr>
        <w:t>E. 1</w:t>
      </w:r>
    </w:p>
    <w:p>
      <w:r>
        <w:t>Der angefochtene Entscheid betrifft die Entlassung aus dem vorzeitigen Strafvollzug. Dagegen ist die Beschwerde in Strafsachen nach Art. 78 ff. BGG gegeben. Der Beschwerdeführer ist nach Art. 81 Abs. 1 BGG zur Beschwerde berechtigt. Auf seine Beschwerde ist unter dem Vorbehalt einer hinreichenden Begründung einzutreten.</w:t>
      </w:r>
    </w:p>
    <w:p>
      <w:r>
        <w:rPr>
          <w:b/>
        </w:rPr>
        <w:t>E. 2.1</w:t>
      </w:r>
    </w:p>
    <w:p>
      <w:r>
        <w:t>Der Beschwerdeführer befindet sich im vorzeitigen Strafvollzug. Dies hindert ihn nicht daran, ein Gesuch um Haftentlassung zu stellen. Auf Gesuch um Entlassung aus dem vorzeitigen Strafvollzug hin ist zu prüfen, ob die Haftvoraussetzungen gegeben sind ( BGE 117 Ia 72 E. 1d S. 79 f.; Urteil 1B_214/2009 vom 21. August 2009 E. 2.1; je mit Hinweisen).</w:t>
      </w:r>
    </w:p>
    <w:p>
      <w:r>
        <w:rPr>
          <w:b/>
        </w:rPr>
        <w:t>E. 2.2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w:t>
      </w:r>
    </w:p>
    <w:p>
      <w:r>
        <w:rPr>
          <w:b/>
        </w:rPr>
        <w:t>E. 2.3</w:t>
      </w:r>
    </w:p>
    <w:p>
      <w:r>
        <w:t>Der Beschwerdeführer richtet sich teilweise gegen die Annahme eines dringenden Tatverdachts durch die Vorinstanz (E. 3 hiernach) und ist der Ansicht, es bestehe keine Fluchtgefahr bzw. einer solchen könnte mit Ersatzmassnahmen begegnet werden (E. 4 hiernach).</w:t>
      </w:r>
    </w:p>
    <w:p>
      <w:r>
        <w:rPr>
          <w:b/>
        </w:rPr>
        <w:t>E. 2.4</w:t>
      </w:r>
    </w:p>
    <w:p>
      <w:r>
        <w:t>Das Bundesgericht prüft nur hinreichend begründete Rügen; diese müssen sich zudem gegen den angefochtenen Entscheid richten ( Art. 42 Abs. 2 und Art. 106 Abs. 2 BGG ). Der Beschwerdeführer kritisiert in verschiedener Hinsicht das Verfahren und die Staatsanwaltschaft und macht zudem geltend, die migrationsrechtlichen Aspekte seien ausgeblendet und seine Grundrechte verletzt worden. Inwiefern die betreffenden Vorbringen die Rechtmässigkeit des angefochtenen Entscheids in Frage stellen sollen, ist unklar, weshalb in dieser Hinsicht auf die Beschwerde nicht einzutreten ist.</w:t>
      </w:r>
    </w:p>
    <w:p>
      <w:r>
        <w:rPr>
          <w:b/>
        </w:rPr>
        <w:t>E. 3.1</w:t>
      </w:r>
    </w:p>
    <w:p>
      <w:r>
        <w:t>Der Beschwerdeführer bestreitet den dringenden Tatverdacht in Bezug auf die Tatbestände der Sachbeschädigung ( Art. 144 StGB ), der Hinderung einer Amtshandlung ( Art. 286 StGB ), der Gewalt und Drohung gegen Behörden und Beamte ( Art. 285 StGB ) sowie der Erwerbstätigkeit ohne Bewilligung (Art. 115 Abs. 1 lit. c AuG) nicht. Er geht jedoch davon aus, dass kein dringender Verdacht des rechtswidrigen Aufenthalts in der Schweiz (Art. 115 Abs. 1 lit. b AuG) besteht. Gemäss der letztgenannten Bestimmung wird mit Freiheitsstrafe bis zu einem Jahr oder Geldstrafe bestraft, wer sich rechtswidrig, namentlich nach Ablauf des bewilligungsfreien oder des bewilligten Aufenthalts, in der Schweiz aufhält. Das Obergericht führte dazu unter Verweisung auf einen früheren Beschluss aus, der Beschwerdeführer sei rechtskräftig aus der Schweiz weggewiesen worden. Seine Argumentation, es sei ihm objektiv nicht möglich gewesen, gültige Reisepapiere zu beschaffen, überzeuge nicht. Als er in der Schweiz eine B-Bewilligung beantragt habe, habe er es ebenfalls geschafft, einen angolanischen (mittlerweile abgelaufenen) Reisepass zu erlangen. Er selbst habe zudem angegeben, er habe nicht versucht, über einen Anwalt in Angola einen Geburtsschein zu beschaffen, mit dem er auf der angolanischen Botschaft einen Reisepass erhalten hätte.</w:t>
      </w:r>
    </w:p>
    <w:p>
      <w:r>
        <w:rPr>
          <w:b/>
        </w:rPr>
        <w:t>E. 3.2</w:t>
      </w:r>
    </w:p>
    <w:p>
      <w:r>
        <w:t>Der Beschwerdeführer erhebt in seiner Beschwerdeschrift verschiedene Einwendungen, welche sich sinngemäss gegen die Rechtmässigkeit der Wegweisung richten. Diese sind jedoch nicht geeignet, diese als nichtig erscheinen zu lassen, was der Beschwerdeführer im Übrigen auch nicht behauptet. Mithin ist zusammen mit der Vorinstanz von einer rechtskräftigen Wegweisung auszugehen. Weiter bezeichnet der Beschwerdeführer als krass willkürlich, dass ihm die Vorinstanz eine mangelnde Mitwirkung bei der Beschaffung von Reisepapieren vorwirft und macht geltend, die Behörden selbst hätten das Ihrige beitragen müssen. Auf die entsprechenden Erwägungen im angefochtenen Entscheid geht er jedoch nicht ein. Insofern ist seine Kritik unzureichend begründet ( Art. 42 Abs. 2 BGG ) und gibt nicht Anlass, die Bejahung des dringenden Tatverdachts auch hinsichtlich des rechtswidrigen Aufenthalts in der Schweiz in Frage zu stellen.</w:t>
      </w:r>
    </w:p>
    <w:p>
      <w:r>
        <w:rPr>
          <w:b/>
        </w:rPr>
        <w:t>E. 4.1</w:t>
      </w:r>
    </w:p>
    <w:p>
      <w:r>
        <w:t>Das Obergericht geht von Fluchtgefahr aus. Die Staatsanwaltschaft habe eine unbedingte Freiheitsstrafe von neun Monaten beantragt. Dem Beschwerdeführer drohe demnach eine längere Freiheitsstrafe. Zudem müsse er mit Ausschaffungshaft und der zwangsweisen Sicherstellung des Wegweisungsvollzugs rechnen. Bei einer Hafteinvernahme habe er im Übrigen erklärt, nach Frankreich reisen zu wollen, wo er Freunde habe.</w:t>
      </w:r>
    </w:p>
    <w:p>
      <w:r>
        <w:rPr>
          <w:b/>
        </w:rPr>
        <w:t>E. 4.2</w:t>
      </w:r>
    </w:p>
    <w:p>
      <w:r>
        <w:t>Der Beschwerdeführer macht dagegen geltend, die erstandene Haft habe ihre Wirkung auf ihn nicht verfehlt. Hinzu komme, dass er in der Schweiz Kinder habe. Die Kindsmutter habe ihn zudem im Gefängnis besucht. Die Schweiz wolle er nicht verlassen. Schliesslich habe er auch bewiesen, dass er sich an behördliche Anweisungen halte. Deshalb könnte einer Fluchtgefahr auch mit Ersatzmassnahmen, insbesondere einer Eingrenzung, begegnet werden.</w:t>
      </w:r>
    </w:p>
    <w:p>
      <w:r>
        <w:rPr>
          <w:b/>
        </w:rPr>
        <w:t>E. 4.3</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Indiz für Fluchtgefahr gewertet werden, genügt jedoch für sich allein nicht, um den Haftgrund zu bejahen ( BGE 125 I 60 E. 3a S. 62 mit Hinweisen). Miteinzubeziehen sind die familiären und sozialen Bindungen, die berufliche und finanzielle Situation und die Kontakte zum Ausland (Urteil 1B_424/2011 vom 14. September 2011 E. 4.1 mit Hinweis). Selbst bei einer befürchteten Reise in ein Land, welches die beschuldigte Person grundsätzlich an die Schweiz ausliefern bzw. stellvertretend verfolgen könnte, ist die Annahme von Fluchtgefahr nicht ausgeschlossen (Urteil 1B_422/ 2011 vom 6. September 2011 E. 4.2 mit Hinweis).</w:t>
      </w:r>
    </w:p>
    <w:p>
      <w:r>
        <w:rPr>
          <w:b/>
        </w:rPr>
        <w:t>E. 4.4</w:t>
      </w:r>
    </w:p>
    <w:p>
      <w:r>
        <w:t>Der Beschwerdeführer befindet sich seit mittlerweile fünf Monaten in Haft und angesichts des Strafantrags der Staatsanwaltschaft von neun Monaten Gefängnis kann kaum gesagt werden, es drohe ihm eine längere Freiheitsstrafe. Trotzdem ist die Fluchtgefahr zu bejahen. Gemäss dem angefochtenen Entscheid ist der Beschwerdeführer rechtskräftig aus der Schweiz weggewiesen worden und droht ihm die Ausschaffungshaft. Unter diesen Voraussetzungen spricht sein Wille, in der Schweiz zu bleiben, nicht gegen Fluchtgefahr. Vielmehr ist in dieser Hinsicht zu befürchten, dass er sich den schweizerischen Behörden und damit auch dem Strafverfahren durch ein Untertauchen im Inland zu entziehen versuchen könnte. Angesichts der drohenden Ausschaffung hat der Beschwerdeführer dabei kaum etwas zu verlieren. Die Fluchtgefahr kann unter diesen Voraussetzungen bejaht werden und es ist nicht ersichtlich, inwiefern sie mit Ersatzmassnahmen gebannt werden könnte. Die Rüge ist somit unbegründet.</w:t>
      </w:r>
    </w:p>
    <w:p>
      <w:r>
        <w:rPr>
          <w:b/>
        </w:rPr>
        <w:t>E. 5</w:t>
      </w:r>
    </w:p>
    <w:p>
      <w:r>
        <w:t>Die Beschwerde ist abzuweisen, soweit darauf einzutreten ist.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