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1B_252/2020 vom 11. Juni 2020</w:t>
      </w:r>
    </w:p>
    <w:p>
      <w:r>
        <w:t>Bundesgericht, 2020-06-11, FR</w:t>
      </w:r>
    </w:p>
    <w:p>
      <w:r>
        <w:rPr>
          <w:b/>
        </w:rPr>
        <w:t xml:space="preserve">Quelle: </w:t>
      </w:r>
      <w:r>
        <w:t>https://mcp.opencaselaw.ch/entscheid/bger_1B_252_2020</w:t>
      </w:r>
    </w:p>
    <w:p>
      <w:r>
        <w:t>FR: TF 1B_252/2020 du 11 juin 2020</w:t>
      </w:r>
    </w:p>
    <w:p>
      <w:r>
        <w:t>IT: TF 1B_252/2020 del 11 giugno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reproche à la cour cantonale d'avoir attribué une autorité de chose jugée absolue à la précédente décision du 14 janvier 2020 alors qu'en matière de détention provisoire, il n'y aurait qu'une autorité de chose jugée relative nécessitant un examen complet et actualisé lors de toute nouvelle prolongation.</w:t>
      </w:r>
    </w:p>
    <w:p>
      <w:r>
        <w:rPr>
          <w:b/>
        </w:rPr>
        <w:t>E. 2.1</w:t>
      </w:r>
    </w:p>
    <w:p>
      <w:r>
        <w:t>Contrairement à ce que soutient le recourant, la cour cantonale n'a pas reconnu une force de chose jugée absolue à sa précédente décision, mais s'est contentée de renvoyer à celle-ci s'agissant des éléments de fait et de procédure (consid. A.). La jurisprudence rendue en matière de prolongation de la détention provisoire (et également rappelée dans l'arrêt attaqué) admet une motivation par renvoi à de précédentes décisions, pour autant que le prévenu ne fasse pas valoir de faits ou d'arguments nouveaux et que les motifs auxquels il est renvoyé soient développés de manière suffisante au regard des exigences déduites de l' art. 29 al. 2 Cst. (cf. ATF 123 I 31 consid. 2c p. 34; arrêt 1B_49/2016 du 25 février 2016 consid. 2 et les arrêts cités). Contrairement à ce que soutient le recourant, il n'y a donc pas lieu de se livrer chaque fois à un examen exhaustif de l'admissibilité de la détention, mais de tenir compte de l'évolution du dossier depuis la précédente décision ainsi que des objections nouvelles qui peuvent être soulevées.</w:t>
      </w:r>
    </w:p>
    <w:p>
      <w:r>
        <w:rPr>
          <w:b/>
        </w:rPr>
        <w:t>E. 2.2</w:t>
      </w:r>
    </w:p>
    <w:p>
      <w:r>
        <w:t>En l'occurrence, la cour cantonale s'est référée à sa précédente décision s'agissant de la question des charges suffisantes, écartant l'argument relatif à la crédibilité d'un témoignage. Elle a pour le surplus examiné les griefs relatifs à l'état de santé du recourant et aux éventuelles mesures de substitution. Le recourant n'indique d'ailleurs pas sur quel point le dossier aurait évolué et imposerait une nouvelle appréciation. Il n'y a donc ni violation de l'obligation de motiver, ni arbitraire.</w:t>
      </w:r>
    </w:p>
    <w:p>
      <w:r>
        <w:rPr>
          <w:b/>
        </w:rPr>
        <w:t>E. 3</w:t>
      </w:r>
    </w:p>
    <w:p>
      <w:r>
        <w:t>Le recourant reproche aussi aux juridictions de première et de seconde instances de ne pas avoir donné suite aux demandes de compléments d'instruction. Celles-ci portaient sur l'état de santé du recourant et l'audition de ses proches ainsi que sur son intégration et ses attaches en Suisse, respectivement au Portugal. Le recourant renouvelle d'ailleurs ces offres de preuve devant la cour de céans.</w:t>
      </w:r>
    </w:p>
    <w:p>
      <w:r>
        <w:rPr>
          <w:b/>
        </w:rPr>
        <w:t>E. 3.1</w:t>
      </w:r>
    </w:p>
    <w:p>
      <w:r>
        <w:t>La procédure relative à la détention provisoire est régie par le principe de célérité ( art. 5 al. 2 CPP , art. 224 al. 2 et 226 al. 1 CPP). Compte tenu des délais très brefs auxquels est soumise cette procédure, l'administration de preuves est en principe exclue. Le procureur, au moment d'ordonner la mise en détention, doit administrer les preuves "aisément disponibles" ( art. 224 al. 1 CPP ) et le Tmc doit pour sa part recueillir les preuves "immédiatement disponibles"; il se fonde également sur l'audience de comparution personnelle du prévenu ( art. 225 al. 1 et 4 CPP ). Par la suite, la procédure est écrite ( art. 227 al. 6 CPP ) et l'autorité se fonde sur le dossier de la cause. Le Tmc peut certes enjoindre le ministère public de procéder à certains actes d'instruction (art. 226 al. 4 let. b, 227 al. 5 in fine CPP), mais il n'a pas à y procéder lui-même.</w:t>
      </w:r>
    </w:p>
    <w:p>
      <w:r>
        <w:rPr>
          <w:b/>
        </w:rPr>
        <w:t>E. 3.2</w:t>
      </w:r>
    </w:p>
    <w:p>
      <w:r>
        <w:t>C'est dès lors à juste titre que les instances cantonales se sont fondées sur les pièces figurant au dossier pour se prononcer. S'agissant de l'état de santé du recourant, la cour cantonale mentionne un avis de la SUVA du 13 janvier 2020, un certificat médical du médecin traitant du 2 mars 2020 ainsi qu'une communication du médecin du SMP chargé du suivi médical du recourant. Elle rappelle au demeurant qu'il appartient au SMP d'assurer un niveau de soins suffisant. Les instances précédentes se sont ainsi fondées sur les preuves "immédiatement disponibles", et il est loisible au recourant de se plaindre à cet égard d'un établissement arbitraire des faits, aux conditions de l' art. 97 LTF . Il en va de même à propos du risque de fuite: s'agissant de la situation du recourant, l'arrêt attaqué renvoie à la précédente décision qui, elle-même, se réfère à la décision du Tmc du 16 décembre 2019. Cette dernière rappelle les arguments du recourant et expose dans le détail ses liens avec la Suisse, respectivement son pays d'origine. A supposer qu'ils soient admissibles dans le cadre de la prolongation de la détention, les témoignages de proches sur leur relation avec le recourant ne seraient quoi qu'il en soit pas susceptibles de modifier l'évaluation du risque de fuite.</w:t>
      </w:r>
    </w:p>
    <w:p>
      <w:r>
        <w:t>Le grief doit être écarté, de même que les réquisitions de preuve formées devant le Tribunal fédéral (cf. ATF 143 IV 316 consid. 3.1).</w:t>
      </w:r>
    </w:p>
    <w:p>
      <w:r>
        <w:rPr>
          <w:b/>
        </w:rPr>
        <w:t>E. 4</w:t>
      </w:r>
    </w:p>
    <w:p>
      <w:r>
        <w:t>Le recourant soutient ensuite que l'incrimination retenue à son encontre serait arbitraire. Il relève que tant le mobile que l'intention meurtrière ne seraient pas établis après six mois d'enquête. L'arme utilisée (un couteau avec une lame de 8,5 cm de long), le modus operandi (un coup porté au flanc) et le contexte (absence d'antécédent, de dangerosité ou de maladie psychiatrique) ne permettraient pas non plus de confirmer l'accusation de tentative de meurtre. Le recourant estime que l'instruction serait menée uniquement à charge et que les éléments de preuve seraient interprétés de manière unilatérale.</w:t>
      </w:r>
    </w:p>
    <w:p>
      <w:r>
        <w:rPr>
          <w:b/>
        </w:rPr>
        <w:t>E. 4.1</w:t>
      </w:r>
    </w:p>
    <w:p>
      <w:r>
        <w:t>Pour qu'une personne soit placée en détention pour des motifs de sûreté, il doit exister à son égard des charges suffisantes ou des indices sérieux de culpabilité, c'est-à-dire des raisons plausibles de la soupçonner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p. 333; 143 IV 316 consid. 3.1 et 3.2 p. 318).</w:t>
      </w:r>
    </w:p>
    <w:p>
      <w:r>
        <w:rPr>
          <w:b/>
        </w:rPr>
        <w:t>E. 4.2</w:t>
      </w:r>
    </w:p>
    <w:p>
      <w:r>
        <w:t>Le recourant ne conteste pas avoir porté un coup de couteau au flanc gauche de la victime, après une altercation, alors qu'il se trouvait dans un état d'ébriété tel qu'il ne se souvient pas du déroulement des faits. Selon un témoin qui se trouvait à proximité immédiate, le recourant aurait insulté et menacé de mort la victime juste avant de frapper, confirmant ainsi les dires de la victime. Dans le cadre de la détention provisoire, il n'y a rien de critiquable à se fonder sur ces déclarations pour retenir un soupçon suffisant d'intention meurtrière. Le grief doit lui aussi être écarté.</w:t>
      </w:r>
    </w:p>
    <w:p>
      <w:r>
        <w:rPr>
          <w:b/>
        </w:rPr>
        <w:t>E. 5</w:t>
      </w:r>
    </w:p>
    <w:p>
      <w:r>
        <w:t>Le recourant remet ensuite en doute le risque de fuite. Il soutient que ses liens avec la Suisse seraient prépondérants. Il dépendrait entièrement de la SUVA et, à plus long terme, de l'AI. Son état de santé nécessiterait un traitement lourd et une hospitalisation prolongée, et il aurait intérêt à bénéficier d'une couverture médicale complète dont il ne disposerait plus en cas de passage dans la clandestinité. Sa famille proche vivrait en Suisse, de même que son amie. Le recourant serait bien intégré et n'aurait plus d'attaches avec le Portugal où il ne disposerait d'aucune ressource.</w:t>
      </w:r>
    </w:p>
    <w:p>
      <w:r>
        <w:rPr>
          <w:b/>
        </w:rPr>
        <w:t>E. 5.1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 Le risque de fuite s'étend également au risque de se soustraire à la procédure pénale ou à la sanction prévisible en tombant dans la clandestinité à l'intérieur du pays ( ATF 143 IV 160 consid. 4.3 p. 167).</w:t>
      </w:r>
    </w:p>
    <w:p>
      <w:r>
        <w:rPr>
          <w:b/>
        </w:rPr>
        <w:t>E. 5.2</w:t>
      </w:r>
    </w:p>
    <w:p>
      <w:r>
        <w:t>Le recourant a certes des liens avec la Suisse; il y réside depuis plusieurs années et son frère vit à Bex. Du point de vue professionnel en revanche, il se trouve en incapacité de travail depuis plusieurs années et ne dispose d'aucun élément de fortune. En outre, il a une fille de 17 ans au Portugal ainsi que ses parents auxquels il a encore rendu visite au mois de mai 2019. Le recourant fait grand cas de son état de santé (consid. 6 ci-dessous), mais celui-ci ne l'empêche nullement de voyager. Il n'explique pas non plus en quoi d'éventuelles prestations de la SUVA - qui a mis fin au paiement de soins médicaux et de l'indemnité journalière en janvier 2020 - ou de l'assurance invalidité - au sujet desquelles il ne fournit aucune précision - le retiendraient en Suisse. L'amie du recourant, également de nationalité portugaise, s'est rendue auprès de lui pour le soutenir en vue de l'opération programmée au mois de juin 2019. Elle n'a toutefois aucun lien avec la Suisse et a déclaré qu'elle entendait retourner au Portugal.</w:t>
      </w:r>
    </w:p>
    <w:p>
      <w:r>
        <w:t>Dans ces conditions, compte tenu de la gravité des faits reprochés au recourant et de la conclusion prochaine de l'instruction, le risque concret de devoir purger une peine d'une certaine importance pourrait inciter le recourant à se réfugier dans son pays d'origine, d'où il ne pourrait être extradé. Les difficultés de passages aux frontières liées à la crise sanitaire ne sont d'ailleurs plus d'actualité. Le risque de fuite doit être confirmé.</w:t>
      </w:r>
    </w:p>
    <w:p>
      <w:r>
        <w:rPr>
          <w:b/>
        </w:rPr>
        <w:t>E. 6</w:t>
      </w:r>
    </w:p>
    <w:p>
      <w:r>
        <w:t>Le recourant invoque ses problèmes de santé. Il se plaint de ce que les soins en prison se limiteraient à des mesures conservatoires, et que son état pourrait devenir incurable à terme. Il y aurait lieu à tout le moins d'instruire sur ce point afin de déterminer si la détention demeure proportionnée.</w:t>
      </w:r>
    </w:p>
    <w:p>
      <w:r>
        <w:rPr>
          <w:b/>
        </w:rPr>
        <w:t>E. 6.1</w:t>
      </w:r>
    </w:p>
    <w:p>
      <w:r>
        <w:t>Le recourant n'apporte aucune précision sur les problèmes de santé dont il souffre. Au vu du dossier, il s'agit de lésions de nature orthopédique, l'opération prévue au mois de juin 2019 concernant l'exérèse de deux proéminences osseuses. Son état nécessite la prise de médicaments (anti-inflammatoires et anti-douleurs), mais rien ne permet de redouter une évolution irréversible ou même une dégradation de son état. Comme le relèvent les instances précédentes, le recourant est suivi par le Service médical pénitentiaire qui n'a constaté aucune contre-indication s'agissant du maintien en détention. Dans la mesure où il est suffisamment motivé, le grief doit lui aussi être rejeté.</w:t>
      </w:r>
    </w:p>
    <w:p>
      <w:r>
        <w:rPr>
          <w:b/>
        </w:rPr>
        <w:t>E. 6.2</w:t>
      </w:r>
    </w:p>
    <w:p>
      <w:r>
        <w:t>C'est enfin en vain que le recourant relève la durée de sa détention, soit actuellement un peu plus d'une année. Cette durée ne se rapproche pas encore de celle d'une éventuelle peine privative de liberté qui pourrait être prononcée pour une tentative de meurtre. La réduction de responsabilité, évoquée dans le rapport d'expertise psychiatrique, n'est que limitée et l'octroi du sursis par l'autorité de jugement n'apparaît pas d'emblée évident ( ATF 145 IV 179 consid. 3.4 p. 182; 143 IV 168 consid. 5.1 p. 173). Au demeurant, le recourant devrait pouvoir être renvoyé prochainement en jugement, l'enquête étant proche de son terme.</w:t>
      </w:r>
    </w:p>
    <w:p>
      <w:r>
        <w:rPr>
          <w:b/>
        </w:rPr>
        <w:t>E. 7</w:t>
      </w:r>
    </w:p>
    <w:p>
      <w:r>
        <w:t>Sur le vu de ce qui précède, le recours est rejeté dans la mesure où il est recevable. Le recourant a demandé une dispense d'avance de frais, mais l'assistance judiciaire ne peut lui être accordée puisqu'après avoir bénéficié de l'assistance judiciaire au niveau cantonal, il est désormais défendu par un avocat de choix qu'il a déclaré avoir les moyens de rémunérer. Les frais judiciaires - qui peuvent être réduits pour tenir compte de la situation économique du recourant - sont dès lors mis à sa charge ( art. 65 et 66 al. 1 LTF ) 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