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1B_252/2016 vom 14. Dezember 2016</w:t>
      </w:r>
    </w:p>
    <w:p>
      <w:r>
        <w:t>Bundesgericht, 2016-12-14, DE</w:t>
      </w:r>
    </w:p>
    <w:p>
      <w:r>
        <w:rPr>
          <w:b/>
        </w:rPr>
        <w:t xml:space="preserve">Quelle: </w:t>
      </w:r>
      <w:r>
        <w:t>https://mcp.opencaselaw.ch/entscheid/bger_1B_252_2016</w:t>
      </w:r>
    </w:p>
    <w:p>
      <w:r>
        <w:t>FR: TF 1B_252/2016 du 14 décembre 2016</w:t>
      </w:r>
    </w:p>
    <w:p>
      <w:r>
        <w:t>IT: TF 1B_252/2016 del 14 dicembre 2016</w:t>
      </w:r>
    </w:p>
    <w:p>
      <w:pPr>
        <w:pStyle w:val="Heading2"/>
      </w:pPr>
      <w:r>
        <w:t>Erwägungen</w:t>
      </w:r>
    </w:p>
    <w:p>
      <w:r>
        <w:rPr>
          <w:b/>
        </w:rPr>
        <w:t>E. 1</w:t>
      </w:r>
    </w:p>
    <w:p>
      <w:r>
        <w:t>Beim angefochtenen Entscheid handelt es sich um einen selbstständig eröffneten Zwischenentscheid über ein Ausstandsbegehren in einer Strafsache ( Art. 78 Abs. 1 und Art. 92 Abs. 1 BGG ). Das Appellationsgericht des Kantons Basel-Stadt hat als einzige und letzte kantonale Instanz endgültig entschieden ( Art. 80 BGG i.V.m. Art. 59 Abs. 1 lit. c StPO ). Der Beschwerdeführer ist gemäss Art. 81 Abs. 1 lit. a und lit. b Ziff. 1 BGG zur Beschwerde befugt. Die übrigen Sachurteilsvoraussetzungen geben zu keinen Bemerkungen Anlass. Auf die Beschwerde ist grundsätzlich einzutreten.</w:t>
      </w:r>
    </w:p>
    <w:p>
      <w:r>
        <w:rPr>
          <w:b/>
        </w:rPr>
        <w:t>E. 2.1</w:t>
      </w:r>
    </w:p>
    <w:p>
      <w:r>
        <w:t>Der Beschwerdeführer rügt eine Verletzung von Art. 30 Abs. 1 BV , Art. 6 Ziff. 1 EMRK sowie Art. 56 Bst. b und f StPO. Diese Bestimmungen gewähren jeder Person den Anspruch,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 140 I 271 E. 8.4 S. 273 ff.; 140 III 221 E. 4.1 S. 222 f. ; 137 I 227 E. 2.1 S. 229; je mit Hinweisen). Die verfassungs- bzw. konventionsrechtlichen Garantien werden unter anderem in der Strafprozessordnung konkretisiert ( BGE 138 I 425 E. 4.2.1 S. 428 mit Hinweisen). Gemäss Art. 56 StPO tritt eine Person insbesondere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w:t>
      </w:r>
    </w:p>
    <w:p>
      <w:r>
        <w:rPr>
          <w:b/>
        </w:rPr>
        <w:t>E. 2.2</w:t>
      </w:r>
    </w:p>
    <w:p>
      <w:r>
        <w:t>Voreingenommenheit und Befangenheit werden nach der Rechtsprechung angenommen, wenn Umstände vorliegen, die bei objektiver Betrachtung geeignet sind, Misstrauen in die Unparteilichkeit des Richters zu erwecken ( BGE 141 IV 178 E. 3.2.1 S. 179 mit Hinweisen).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Der Prozess muss aus Sicht aller Beteiligten als offen erscheinen ( BGE 140 I 326 E. 5.1 S. 328 mit Hinweis). Für die Ablehnung wird nicht verlangt, dass der Richter tatsächlich befangen ist ( BGE 141 IV 178 E. 3.2.1 S. 179 ; 140 I 326 E. 5.1 S. 328; 138 IV 142 E. 2.1 S. 144 f.; je mit Hinweisen).</w:t>
      </w:r>
    </w:p>
    <w:p>
      <w:r>
        <w:rPr>
          <w:b/>
        </w:rPr>
        <w:t>E. 2.3</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(vgl. zum Ganzen Urteil des Bundesgerichts 1B_274/2013 vom 19. November 2013 E. 4.1 mit Hinweisen; MARKUS BOOG, in: Basler Kommentar, Schweizerische Strafprozessordnung, 2. Aufl. 2014, N. 5 zu Art. 58).</w:t>
      </w:r>
    </w:p>
    <w:p>
      <w:r>
        <w:t>Ob der Beschwerdeführer sein Ausstandsgesuch rechtzeitig gestellt hat, was die Vorinstanz in Zweifel zieht, kann mit Blick auf die nachfolgenden Erwägungen offen gelassen werden.</w:t>
      </w:r>
    </w:p>
    <w:p>
      <w:r>
        <w:rPr>
          <w:b/>
        </w:rPr>
        <w:t>E. 3.1</w:t>
      </w:r>
    </w:p>
    <w:p>
      <w:r>
        <w:t>Der Beschwerdeführer wirft dem Beschwerdegegner Vorbefasstheit bzw. Voreingenommenheit vor, weil dieser bereits im Urteil des Verwaltungsgerichts betreffend Sistierung des Besuchsrechts der Tochter mitgewirkt habe. Er habe dabei ausdrücklich auf das erstinstanzliche Strafgerichtsurteil abgestellt und sich dabei eingehend mit der persönlichen Situation der Kindsmutter und der Tochter des Beschwerdeführers befasst. Dies sei grundsätzlich geeignet, seine Unvoreingenommenheit gegenüber dem Beschwerdeführer negativ zu beeinflussen. Erschwerend komme hinzu, dass dem Beschwerdeführer im Urteil des Verwaltungsgerichts "blanker, nicht zu tolerierender Zynismus" vorgeworfen werde. Damit sei der Anschein begründet, dass sich der Beschwerdegegner bereits eine verfestigte Meinung zum Beschwerdeführer gebildet habe.</w:t>
      </w:r>
    </w:p>
    <w:p>
      <w:r>
        <w:rPr>
          <w:b/>
        </w:rPr>
        <w:t>E. 3.2</w:t>
      </w:r>
    </w:p>
    <w:p>
      <w:r>
        <w:t>Die Beteiligung des Beschwerdegegners am verwaltungsgerichtlichen Urteil lässt ihn (trotz Konnexität zum Strafverfahren) nicht per se als vorbefasst erscheinen, zumal die Verfahrensgegenstände bzw. die sich stellenden tatsächlichen und rechtlichen Fragen offensichtlich unterschiedlich sind. Gegenstand des Verwaltungsgerichtsurteils bildete nicht die Tat des Beschwerdeführers, die in tatsächlicher Hinsicht unbestritten ist, oder deren rechtliche Würdigung, sondern einzig deren Auswirkungen auf die gesundheitliche Verfassung der Kindsmutter (und damit unmittelbar auch des bei der Tat anwesenden Kindes) im Rahmen der Beurteilung des Kindeswohls. Mithin liegt, wie die Vorinstanz zutreffend ausführt, keine "gleiche Sache" i.S.v. Art. 56 lit. b StPO vor.</w:t>
      </w:r>
    </w:p>
    <w:p>
      <w:r>
        <w:rPr>
          <w:b/>
        </w:rPr>
        <w:t>E. 3.3</w:t>
      </w:r>
    </w:p>
    <w:p>
      <w:r>
        <w:t>Oberste Richtschnur für die Ausgestaltung des Besuchsrecht ist immer das Kindeswohl, das anhand der Umstände des konkreten Einzelfalls zu beurteilen ist ( BGE 131 III 209 E. 5 S. 212; 130 III 585 E. 2.1 S. 587 f.; Urteil 5A_200/2015 vom 22. September 2015 E. 7.2.3, in: FamPra.ch 2016 S. 305). Im vorliegenden Fall war es unvermeidlich, die dem Beschwerdeführer vorgeworfene Straftat - wenngleich noch nicht rechtskräftig beurteilt, worauf das Verwaltungsgerichtsurteil auch ausdrücklich hinweist - bei der Prüfung des Kindeswohls zumindest miteinzubeziehen. Auch wenn dies der Beschwerdeführer bestreitet, hat sich das Verwaltungsgericht auch nicht massgeblich auf das Strafurteil abgestützt. Entscheidwesentlich war vielmehr die Einschätzung der KESB sowie der psychiatrische Bericht vom 29. Juli 2014, in dem festgehalten wurde, dass die Kindsmutter noch immer sehr unstabil und vom Trauma stark geprägt sei; die Wahrscheinlichkeit sei gross, dass allfällige Besuche durch den Beschwerdeführer das Verhalten und das Wesen der Mutter in einem unzumutbaren Mass prägen würden, wodurch das Kind in seiner Entwicklung Schaden nehmen könnte. Aus psychiatrischer Sicht sollte in den nächsten ein bis zwei Jahren ein möglichst stressarmer Entwicklungsraum für Mutter und Kind beibehalten werden. Entgegen der Auffassung des Beschwerdeführers begründet die vom Verwaltungsgericht umfassend vorgenommene Würdigung der entscheidwesentlichen Elemente (darunter des Strafurteils, das aufgrund der Umstände zwangsläufig zu berücksichtigen war) betreffend das Kindeswohl keine Voreingenommenheit des Beschwerdegegners. Andere ausstandsbegründende Hinweise, die - objektiv betrachtet - auf eine "Solidarisierung" des Beschwerdegegners mit der Kindsmutter und der Tochter des Beschwerdeführers hindeuten könnten, so dass das Berufungsverfahren nicht mehr offen erscheint, sind nicht ersichtlich.</w:t>
      </w:r>
    </w:p>
    <w:p>
      <w:r>
        <w:rPr>
          <w:b/>
        </w:rPr>
        <w:t>E. 3.4</w:t>
      </w:r>
    </w:p>
    <w:p>
      <w:r>
        <w:t>Die ehemalige Verteidigung vertrat im Verfahren betreffend Sistierung des Besuchsrechts den Standpunkt, es sei der Kindsmutter zumutbar, die Erlebnisse vom 9. Dezember 2012 zumindest teilweise auszublenden und ihrem Kind zu gestatten, den Vater zu besuchen, "zumal sie [die Kindsmutter] aus eigener Erfahrung wissen sollte, wie schmerzhaft der Verlust eines Elternteils [sei]." Diese Argumentation bezeichnete das Verwaltungsgericht als "blanke[n], nicht zu tolerierende[n] Zynismus".</w:t>
      </w:r>
    </w:p>
    <w:p>
      <w:r>
        <w:t>Ungeachtet der Frage, ob mit dieser vom Rechtsvertreter des Beschwerdeführers vorgetragenen Begründung, die dem schwer traumatisierten Opfer die Verantwortung für das Nichtleben der Vater-Kind-Beziehung zuschiebt, eine Grenze überschritten wurde, kann Voreingenommenheit i.S.v. Art. 56 lit. f StPO verneint werden. Entscheidend ist, dass sich die Kritik des Verwaltungsgerichts klarerweise gegen die ihrer Auffassung nach zynische</w:t>
      </w:r>
    </w:p>
    <w:p>
      <w:r>
        <w:t>Argumentation des Rechtsbeistands im verwaltungsgerichtlichen Verfahren richtete, nicht aber gegen den Beschwerdeführer selber. Die Erwägungen des verwaltungsgerichtlichen Urteils enthalten kein Werturteil über diesen und auch keine Würdigung der Straftat oder dessen persönliche Verfassung bei Begehen der Straftat. Entgegen den Ausführungen des Beschwerdeführers kann insoweit keine Rede davon sein, dass dieser durch den Beschwerdegegner bereits persönlich "abqualifiziert" wurde. Wie die Vorinstanz zutreffend hervorhebt, liegen somit - objektiv betrachtet - kei ne Äusserungen oder andere Hinweise vor, die auf eine Befangenheit des Beschwerdegegners schliessen lassen würden.</w:t>
      </w:r>
    </w:p>
    <w:p>
      <w:r>
        <w:rPr>
          <w:b/>
        </w:rPr>
        <w:t>E. 4</w:t>
      </w:r>
    </w:p>
    <w:p>
      <w:r>
        <w:t>Nach dem Ausgeführten ist die Beschwerde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