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24/2021 vom 2. Februar 2021</w:t>
      </w:r>
    </w:p>
    <w:p>
      <w:r>
        <w:t>Bundesgericht, 2021-02-02, DE</w:t>
      </w:r>
    </w:p>
    <w:p>
      <w:r>
        <w:rPr>
          <w:b/>
        </w:rPr>
        <w:t xml:space="preserve">Quelle: </w:t>
      </w:r>
      <w:r>
        <w:t>https://mcp.opencaselaw.ch/entscheid/bger_1B_24_2021</w:t>
      </w:r>
    </w:p>
    <w:p>
      <w:r>
        <w:t>FR: TF 1B 24/2021 du 2 février 2021</w:t>
      </w:r>
    </w:p>
    <w:p>
      <w:r>
        <w:t>IT: TF 1B 24/2021 del 2 febbraio 2021</w:t>
      </w:r>
    </w:p>
    <w:p>
      <w:pPr>
        <w:pStyle w:val="Heading2"/>
      </w:pPr>
      <w:r>
        <w:t>Regeste</w:t>
      </w:r>
    </w:p>
    <w:p>
      <w:r>
        <w:t>Strafverfahren; Gewerbs- und bandenmässiger Diebstahl etc. und Widerruf | Strafprozess</w:t>
      </w:r>
    </w:p>
    <w:p>
      <w:pPr>
        <w:pStyle w:val="Heading2"/>
      </w:pPr>
      <w:r>
        <w:t>Erwägungen</w:t>
      </w:r>
    </w:p>
    <w:p>
      <w:r>
        <w:rPr>
          <w:b/>
        </w:rPr>
        <w:t>E. 1</w:t>
      </w:r>
    </w:p>
    <w:p>
      <w:r>
        <w:t>Der Beschwerdeführer ersucht um Erstreckung der Frist bis zum 21. Februar 2021, um seinen Standpunkt weiter zu erläutern und sich zu den Stellungnahmen der übrigen Verfahrensbeteiligten ergänzend zu äussern. Der Beschwerdeführer reichte dem Bundesgericht am 19. Januar 2021 eine Beschwerdeschrift von 27 Seiten ein. Dazu ging lediglich eine Vernehmlassung der Staatsanwaltschaft von zwei Seiten ein. Mit 10-seitiger Eingabe vom 28. Januar 2021 unterstrich der Beschwerdeführer nochmals seine Argumentation, nahm dabei ausdrücklich Bezug auf die Vernehmlassung der Staatsanwaltschaft und äusserte sich auch dazu. Damit hatte er ausreichend Gelegenheit, seinen Standpunkt vor Bundesgericht zu vertreten und sich mit demjenigen der Staatsanwaltschaft auseinanderzusetzen. Eine weitere Fristgewährung fällt daher angesichts des strafprozessualen Beschleunigungsgebots, das gerade in Haftfällen von besonderer Bedeutung ist, ausser Betracht.</w:t>
      </w:r>
    </w:p>
    <w:p>
      <w:r>
        <w:rPr>
          <w:b/>
        </w:rPr>
        <w:t>E. 2.1</w:t>
      </w:r>
    </w:p>
    <w:p>
      <w:r>
        <w:t>Gemäss Art. 236 Abs. 1 StPO kann die Verfahrensleitung der beschuldigten Person bewilligen, Freiheitsstrafen oder freiheitsentziehende Massnahmen vorzeitig anzutreten, sofern der Stand des Verfahrens es erlaubt.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eine Fortdauer der strafprozessualen Haft in den Modalitäten des vorzeitigen Strafvollzugs gelten uneingeschränkt die einschlägigen Bestimmungen über die Untersuchungs- und Sicherheitshaft gemäss Art. 221 ff. StPO (vgl. BGE 143 IV 160 E. 2 und 2.1 S. 161 f. mit Hinweisen). Demgemäss steht gegen den angefochtenen Entscheid nach Art. 78 Abs. 1 BGG die Beschwerde in Strafsachen offen. Ein kantonales Rechtsmittel fällt nicht in Betracht. Die Vorinstanz hat nach Art. 233 in Verbindung mit Art. 380 StPO als einzige kantonale Instanz entschieden. Die Beschwerde ist somit gemäss Art. 80 BGG zulässig. Die angefochtene Verfügung stellt einen Zwischenentscheid dar, der dem Beschwerdeführer einen nicht wieder gutzumachenden Nachteil im Sinne von Art. 93 Abs. 1 lit. a BGG verursachen kann (vgl. etwa das Urteil des Bundesgerichts 1B_453/2020 vom 23. September 2020 E. 1.1).</w:t>
      </w:r>
    </w:p>
    <w:p>
      <w:r>
        <w:rPr>
          <w:b/>
        </w:rPr>
        <w:t>E. 2.2</w:t>
      </w:r>
    </w:p>
    <w:p>
      <w:r>
        <w:t>Der Beschwerdeführer war am vorinstanzlichen Verfahren beteiligt und ist nach Art. 81 Abs. 1 lit. a und b Ziff. 1 BGG zur Beschwerde berechtigt.</w:t>
      </w:r>
    </w:p>
    <w:p>
      <w:r>
        <w:rPr>
          <w:b/>
        </w:rPr>
        <w:t>E. 2.3</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2.4</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2.5</w:t>
      </w:r>
    </w:p>
    <w:p>
      <w:r>
        <w:t>Zentraler Streitgegenstand bildet im vorliegenden Fall die Haftentlassung des Beschwerdeführers. Insofern stellt er ein Gestaltungsbegehren. Die ergänzenden Feststellungsanträge im Zusammenhang mit dem gleichen Streitgegenstand, namentlich diejenigen auf Feststellung einer Gehörsverletzung sowie eines Verstosses gegen die Menschenrechtskonvention, erweisen sich als unzulässig, geht diesbezüglich das Gestaltungsbegehren doch vor (vgl. BGE 141 IV 349 E. 3.4.2 S. 356; 141 II 113 E. 1.7 S. 123). Nicht einzutreten ist auf die Beschwerde sodann insoweit, als der Beschwerdeführer nicht substanziierte Kritik äussert und über den Prozessgegenstand hinausgeht (vgl. Art. 42 Abs. 2 BGG ). Das gilt insbesondere, soweit der Beschwerdeführer bereits die strafrechtliche Würdigung seines Verhaltens in Frage stellt, was im Berufungsverfahren zu prüfen sein wird, sich auf die behauptete Rechtsverzögerung im Strafverfahren beruft, was Gegenstand eines besonderen bzw. allenfalls des Berufungsverfahrens bildet, und allgemein die gesundheitliche Versorgung kritisiert, soweit dies nicht unter dem Gesichtspunkt der Verhältnismässigkeit der Haft zu prüfen sein wird.</w:t>
      </w:r>
    </w:p>
    <w:p>
      <w:r>
        <w:rPr>
          <w:b/>
        </w:rPr>
        <w:t>E. 2.6</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Soweit der Beschwerdeführer die tatsächlichen Feststellungen des Obergerichts in Frage stellen wollte, legt er nicht dar und ist nicht ersichtlich, dass diese offensichtlich falsch wären oder auf einem massgeblichen Mangel beruhen würden. Die Sachverhaltsfeststellungen der Vorinstanz erweisen sich daher als für das Bundesgericht verbindlich.</w:t>
      </w:r>
    </w:p>
    <w:p>
      <w:r>
        <w:rPr>
          <w:b/>
        </w:rPr>
        <w:t>E. 3</w:t>
      </w:r>
    </w:p>
    <w:p>
      <w:r>
        <w:t>Nach den Grundvoraussetzungen von Art. 231 in Verbindung mit Art. 221 StPO ist Sicherheitshaft insbesondere zulässig, wenn die beschuldigte Person eines Verbrechens oder Vergehens dringend verdächtig ist und ein im Gesetz genannter Haftgrund vorliegt, wozu unter anderem Fluchtgefahr und Kollusionsgefahr zählen (vgl. Art. 221 Abs. 1 lit. a und b StPO ). Die Haft muss überdies verhältnismässig sein (vgl. Art. 5 Abs. 2 und Art. 36 Abs. 3 BV , Art. 197 Abs. 1 lit. c und Art. 212 Abs. 2 lit. c StPO ). Mit dem angefochtenen Entscheid bejahte das Obergericht das Vorliegen eines dringenden Tatverdachts sowie von Fluchtgefahr und beurteilte die Haft als verhältnismässig. Die Staatsanwaltschaft beruft sich in ihrer Stellungnahme überdies auf Kollusionsgefahr.</w:t>
      </w:r>
    </w:p>
    <w:p>
      <w:r>
        <w:rPr>
          <w:b/>
        </w:rPr>
        <w:t>E. 4.1</w:t>
      </w:r>
    </w:p>
    <w:p>
      <w:r>
        <w:t>Der Beschwerdeführer bestreitet den dringenden Tatverdacht. Er sei unschuldig und wolle für einen Freispruch kämpfen. Dazu macht er insbesondere geltend, für die Tatzeit über ein Alibi zu verfügen. Er habe damals in Litauen eine Ausbildung mit Prüfungen absolviert, was durch ein nachträglich ins Strafverfahren eingebrachtes Diplom belegt werde.</w:t>
      </w:r>
    </w:p>
    <w:p>
      <w:r>
        <w:rPr>
          <w:b/>
        </w:rPr>
        <w:t>E. 4.2</w:t>
      </w:r>
    </w:p>
    <w:p>
      <w:r>
        <w:t>Bei der Überprüfung des allgemeinen Haftgrundes des dringenden Tatverdachts hat das Bundesgericht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(Urteil des Bundesgerichts 1B_321/2017 vom 17. August 2017, mit Hinweisen). Wurde gegen eine in Haft befindliche beschuldigte Person bereits Anklage erhoben oder erging schon ein den Tatvorwurf bestätigendes erstinstanzliches Strafurteil, so kann der Haftrichter in der Regel davon ausgehen, dass die allgemeine Haftvoraussetzung des dringenden Tatverdachts vorliegt. Davon wäre ausnahmsweise abzuweichen, wenn der Angeschuldigte im Haftprüfungs- oder Haftbeschwerdeverfahren darzutun vermöchte, dass die Annahme eines dringenden Tatverdachts unhaltbar ist (Urteil des Bundesgerichts 1B_390/2019 vom 27. August 2019 E. 2.3, mit Hinweisen).</w:t>
      </w:r>
    </w:p>
    <w:p>
      <w:r>
        <w:rPr>
          <w:b/>
        </w:rPr>
        <w:t>E. 4.3</w:t>
      </w:r>
    </w:p>
    <w:p>
      <w:r>
        <w:t>Gegen den Beschwerdeführer liegt ein erstinstanzliches Strafurteil vor, mit dem er wegen der ihm vorgeworfenen Straftaten verurteilt wurde. Der Beschwerdeführer ruft ein Diplom an, das im Zusammenhang mit einer angeblich im Tatzeitraum abgelegten Prüfung in Litauen erteilt worden sein soll, und leitet daraus ein Alibi für den Tatzeitpunkt ab. Dass der Beschwerdeführer sich auf das angebliche Alibi erst im Berufungsverfahren und nicht bereits vor dem erstinstanzlichen Strafgericht berufen hat, wirft allerdings die Frage der Beweistauglichkeit des Diploms auf. Über die beweismässige Bedeutung des Diploms sowie über die Abnahme damit zusammenhängender weiterer Beweise wird jedoch so oder so im Strafverfahren abschliessend zu entscheiden sein. Das kann nicht ohne besonderen Anlass, der hier nicht ersichtlich ist, im strafprozessualen Verfahren vorweggenommen werden. Andere überzeugende Gründe für das Fehlen eines ausreichenden Tatverdachts trägt der Beschwerdeführer nicht vor. Unabhängig davon, welcher Beweiswert dem angeblichen Beweismittel in der Sache im Ergebnis zukommt, vermag der Beschwerdeführer den erforderlichen und mit dem erstinstanzlichen Strafurteil erhärteten Tatverdacht im Haftverfahren daher nicht zu beseitigen. Damit hat die Vorinstanz den dringenden Tatverdacht zu Recht bejaht.</w:t>
      </w:r>
    </w:p>
    <w:p>
      <w:r>
        <w:rPr>
          <w:b/>
        </w:rPr>
        <w:t>E. 5.1</w:t>
      </w:r>
    </w:p>
    <w:p>
      <w:r>
        <w:t>Der Beschwerdeführer bestreitet weiter das Vorliegen von Fluchtgefahr. Im Gegenteil sei er an einem Verbleib in der Schweiz interessiert, um sich hier für seinen Freispruch einzusetzen, die von ihm geltend gemachte Entschädigung wegen ungerechtfertigter Haft einzufordern und sich weiterhin medizinisch versorgen zu lassen.</w:t>
      </w:r>
    </w:p>
    <w:p>
      <w:r>
        <w:rPr>
          <w:b/>
        </w:rPr>
        <w:t>E. 5.2</w:t>
      </w:r>
    </w:p>
    <w:p>
      <w:r>
        <w:t>Die Annahme von Fluchtgefahr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 Urteil des Bundesgerichts 1B_411/2019 vom 11. September 2019 E. 3.3).</w:t>
      </w:r>
    </w:p>
    <w:p>
      <w:r>
        <w:rPr>
          <w:b/>
        </w:rPr>
        <w:t>E. 5.3</w:t>
      </w:r>
    </w:p>
    <w:p>
      <w:r>
        <w:t>Der Beschwerdeführer wurde erstinstanzlich insbesondere zu einer Freiheitsstrafe von 48 Monaten verurteilt. Auch wenn er sich für einen Freispruch einsetzt und er bereits ein Jahr und ungefähr acht Monate einer allfälligen Freiheitsstrafe verbüsst hat, muss er doch auch mit der Möglichkeit einer Bestätigung der ihm auferlegten Strafe sowie eines verbleibenden Freiheitsentzugs von mehr als zwei Jahren rechnen. Auf den noch höheren Strafantrag der Staatsanwaltschaft kommt es unter diesen Umständen gar nicht an. Sodann verfügt der Beschwerdeführer über kein Domizil und keine Anwesenheitsbewilligung sowie über keine bekannten sozialen Beziehungen in der Schweiz. Sein Lebensmittelpunkt und seine Familie befinden sich in Litauen. Dass der Beschwerdeführer für die Einforderung einer allfälligen Haftentschädigung ohne Aufenthaltstitel längere Zeit in der Schweiz verweilen könnte, erscheint unwahrscheinlich. Selbst wenn er als visumsbefreiter Freizügigkeitsberechtigter bewilligungsfrei hier bleiben dürfte, wäre dieser Aufenthalt auf maximal drei Monate beschränkt (vgl. Art. 10 Abs. 1 AIG [SR 142.20]). Spätestens danach müsste er entweder über eine Arbeitsstelle oder über den Lebensunterhalt deckende finanzielle Mittel sowie über eine ausreichende Krankenversicherung verfügen, um gestützt auf Freizügigkeitsrecht in der Schweiz leben zu dürfen (vgl. Art. 4 und 6 FZA [SR.0.142.112.681] sowie Art. 2 i.V.m. Art. 6 und Art. 24 Anhang I FZA ). Selbst wenn er in der Schweiz eine Arbeitsstelle suchen wollte, dürfte er nicht von der Sozialhilfe abhängig sein (vgl. Art. 2 Abs. 1 Anhang I FZA ). Diese Voraussetzungen erfüllt der Beschwerdeführer nach seinen eigenen Angaben nicht, wonach er mittellos ist und keine in der Schweiz anerkannte ausreichende Krankenversicherung hat. Sein einziges Einkommen bildet zurzeit das im Haftvollzug erwirtschaftete Pekulium. Diese Einkunft entfiele jedoch bei einer Haftentlassung. Ohne Krankenversicherung und ohne medizinische Betreuung im Haftvollzug, auf die er bei einer Haftentlassung keinen Anspruch mehr hätte, wäre auch die erwünschte gesundheitliche Versorgung in der Schweiz erheblich in Frage gestellt. Dass er sich nach einer entsprechenden Ausreise für die Fortsetzung des zeitlich nicht unerheblichen Strafvollzugs freiwillig wieder in die Schweiz begeben würde, ist angesichts dieser Ausgangslage unwahrscheinlich, zumal seine Chancen auf eine Haftentschädigung bei einer allfälligen Bestätigung des Strafurteils bzw. der Freiheitsstrafe erheblich kompromittiert wären. Bei einem eventuellen Freispruch im Berufungsverfahren stünde es dem Beschwerdeführer im Übrigen frei, die Haftentschädigung von Litauen aus geltend zu machen oder dafür wieder einzureisen, entfiele damit doch auch die ausgesprochene Landesverweisung.</w:t>
      </w:r>
    </w:p>
    <w:p>
      <w:r>
        <w:rPr>
          <w:b/>
        </w:rPr>
        <w:t>E. 5.4</w:t>
      </w:r>
    </w:p>
    <w:p>
      <w:r>
        <w:t>Insgesamt verletzt es daher Bundesrecht nicht, beim Beschwerdeführer von Fluchtgefahr auszugehen. Damit erübrigt es sich, das Vorliegen von Kollusionsgefahr zu prüfen, zumal auch das Obergericht sich dazu nicht geäussert und darüber nicht entschieden hat.</w:t>
      </w:r>
    </w:p>
    <w:p>
      <w:r>
        <w:rPr>
          <w:b/>
        </w:rPr>
        <w:t>E. 6.1</w:t>
      </w:r>
    </w:p>
    <w:p>
      <w:r>
        <w:t>Schliesslich rügt der Beschwerdeführer, die Haft sei unverhältnismässig. Diese dauere schon viel zu lange. Überdies sei er zu Beginn der Haft längere Zeit medizinisch nicht ausreichend versorgt worden, was Folter oder unmenschlicher Behandlung gemäss Art. 3 EMRK und Art. 10 BV gleichkäme.</w:t>
      </w:r>
    </w:p>
    <w:p>
      <w:r>
        <w:rPr>
          <w:b/>
        </w:rPr>
        <w:t>E. 6.2</w:t>
      </w:r>
    </w:p>
    <w:p>
      <w:r>
        <w:t>Bei einer erstinstanzlich ausgesprochenen Freiheitsstrafe von vier Jahren droht dem Beschwerdeführer nach einer bisher ausgestandenen Haftdauer von einem Jahr und gut acht Monaten zurzeit keine Überhaft. Über den mit angeblich ungenügender medizinischer Versorgung zu Beginn der Haft begründeten Vorwurf von Folter oder unmenschlicher Behandlung hat das Bundesgericht bereits mit Urteil 1B_416/2019 vom 12. September 2019 entschieden und dabei keine Bundesrechtsverletzung erkannt. Darauf ist nicht zurückzukommen. Inzwischen wurde der Beschwerdeführer überdies in eine andere Vollzugsanstalt verlegt, wo ihm nach seinen eigenen Angaben eine ihn zufriedenstellende medizinische Versorgung zukommt. Damit stellt er genau genommen die gegenwärtigen Haftbedingungen nicht in Frage. Welche geeigneten Ersatzmassnahmen anstelle der Haft verfügt werden könnten, legt der Beschwerdeführer nicht ausreichend dar. Solche sind im Übrigen auch nicht ersichtlich.</w:t>
      </w:r>
    </w:p>
    <w:p>
      <w:r>
        <w:rPr>
          <w:b/>
        </w:rPr>
        <w:t>E. 6.3</w:t>
      </w:r>
    </w:p>
    <w:p>
      <w:r>
        <w:t>Die Haft ist demnach nicht unverhältnismässig.</w:t>
      </w:r>
    </w:p>
    <w:p>
      <w:r>
        <w:rPr>
          <w:b/>
        </w:rPr>
        <w:t>E. 7</w:t>
      </w:r>
    </w:p>
    <w:p>
      <w:r>
        <w:t>Der angefochtene Entscheid verstösst nicht gegen Bundesrecht. Die Beschwerde erweist sich als unbegründet und ist abzuweisen, soweit darauf eingetreten werden kann. Bei diesem Verfahrensausgang wird der unterliegende Beschwerdeführer an sich kostenpflichtig ( Art. 66 Abs. 1 BGG ). Allerdings stellt er ein Gesuch um unentgeltliche Rechtspflege und Verbeiständung. Voraussetzungen dafür sind Bedürftigkeit und, dass seine Rechtsbegehren nicht aussichtslos erscheinen (vgl. Art. 64 BGG ). Von der Mittellosigkeit kann ausgegangen werden. Die Aussichtslosigkeit der gestellten Anträge lässt sich gerade noch knapp verneinen. Demgemäss ist dem Gesuch des Beschwerdeführers um unentgeltliche Rechtspflege und Verbeiständung mit seinem Rechtsvertreter stattzugeben und dieser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