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24/2017 vom 10. Mai 2017</w:t>
      </w:r>
    </w:p>
    <w:p>
      <w:r>
        <w:t>Bundesgericht, 2017-05-10, DE</w:t>
      </w:r>
    </w:p>
    <w:p>
      <w:r>
        <w:rPr>
          <w:b/>
        </w:rPr>
        <w:t xml:space="preserve">Quelle: </w:t>
      </w:r>
      <w:r>
        <w:t>https://mcp.opencaselaw.ch/entscheid/bger_1B_24_2017</w:t>
      </w:r>
    </w:p>
    <w:p>
      <w:r>
        <w:t>FR: TF 1B 24/2017 du 10 mai 2017</w:t>
      </w:r>
    </w:p>
    <w:p>
      <w:r>
        <w:t>IT: TF 1B 24/2017 del 10 maggio 2017</w:t>
      </w:r>
    </w:p>
    <w:p>
      <w:pPr>
        <w:pStyle w:val="Heading2"/>
      </w:pPr>
      <w:r>
        <w:t>Regeste</w:t>
      </w:r>
    </w:p>
    <w:p>
      <w:r>
        <w:t>Strafverfahren; Ausstand | Zuständigkeitsfragen, Garantie des Wohnsitzrichters und des v...</w:t>
      </w:r>
    </w:p>
    <w:p>
      <w:pPr>
        <w:pStyle w:val="Heading2"/>
      </w:pPr>
      <w:r>
        <w:t>Erwägungen</w:t>
      </w:r>
    </w:p>
    <w:p>
      <w:r>
        <w:rPr>
          <w:b/>
        </w:rPr>
        <w:t>E. 1.1</w:t>
      </w:r>
    </w:p>
    <w:p>
      <w:r>
        <w:t>Beim angefochtenen Entscheid über den Ausstand der Strafgerichtspräsidentin handelt es sich um einen selbständig anfechtbaren, kantonal letztinstanzlichen (vgl. Art. 59 Abs. 1 lit. b StPO ) Zwischenentscheid des Kantonsgerichts, gegen den gemäss Art. 78 ff. in Verbindung mit Art. 92 BGG grundsätzlich die Beschwerde in Strafsachen an das Bundesgericht offen steht.</w:t>
      </w:r>
    </w:p>
    <w:p>
      <w:r>
        <w:rPr>
          <w:b/>
        </w:rPr>
        <w:t>E. 1.2</w:t>
      </w:r>
    </w:p>
    <w:p>
      <w:r>
        <w:t>Die Strafgerichtspräsidentin ist per 31. Dezember 2016 von ihrem Amt zurückgetreten. Entgegen der Auffassung der Staatsanwaltschaft in ihrer Stellungnahme an das Bundesgericht vom 8. Februar 2017 entfällt damit das aktuelle Rechtsschutzinteresse des Beschwerdeführers an der Behandlung seiner Beschwerde jedoch nicht. Die Strafgerichtspräsidentin hat noch bis am 31. Dezember 2016 als Verfahrensleiterin geamtet und hat mehrere verfahrensleitende Verfügungen erlassen. Insbesondere hat sie Beweisanträge des Beschwerdeführers abgewiesen. Sollte sich das Ausstandsbegehren des Beschwerdeführers als begründet erweisen, so wären die Amtshandlungen, an welchen die Strafgerichtspräsidentin mitgewirkt hat, aufzuheben und zu wiederholen, sofern dies eine Partei innert 5 Tagen verlangt ( Art. 60 Abs. 1 StPO ).</w:t>
      </w:r>
    </w:p>
    <w:p>
      <w:r>
        <w:rPr>
          <w:b/>
        </w:rPr>
        <w:t>E. 1.3.1</w:t>
      </w:r>
    </w:p>
    <w:p>
      <w:r>
        <w:t>Mit der Beschwerde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w:t>
      </w:r>
    </w:p>
    <w:p>
      <w:r>
        <w:rPr>
          <w:b/>
        </w:rPr>
        <w:t>E. 1.3.2</w:t>
      </w:r>
    </w:p>
    <w:p>
      <w:r>
        <w:t>In seiner Beschwerde behauptet der Beschwerdeführer eine Verletzung seines Anspruchs auf rechtliches Gehör gemäss Art. 29 Abs. 2 BV . Die Vorinstanz führt in ihrer Vernehmlassung an das Bundesgericht vom 6. Februar 2017 aus, die Tatsache, dass der Beschwerdeführer keine Stellung zur Eingabe der Präsidentin des Strafgerichts vom 15. November 2016 habe beziehen können, bedeute keine Verletzung seines rechtlichen Gehörs im Ausstandsverfahren für Handlungen der Strafgerichtspräsidentin im Zeitraum zwischen dem 25. Juli 2016 und dem Zeitpunkt des Beschlusses des Kantonsgerichts vom 15. November 2016. In seiner Stellungnahme im bundesgerichtlichen Verfahren vom 27. März 2017 anerkennt der Beschwerdeführer die Ausführungen des Kantonsgerichts in der Vernehmlassung vom 6. Februar 2017 ausdrücklich als grundsätzlich richtig an. Er kritisiert einzig, dass die Vorinstanz zur Hauptfrage des Ausstands keine weiteren Erklärungen abgegeben hat. Der Beschwerdeführer hält damit an seiner Rüge der Gehörsverletzung nicht mehr fest, weshalb sich weitere Ausführungen hierzu erübrigen.</w:t>
      </w:r>
    </w:p>
    <w:p>
      <w:r>
        <w:rPr>
          <w:b/>
        </w:rPr>
        <w:t>E. 2.1</w:t>
      </w:r>
    </w:p>
    <w:p>
      <w:r>
        <w:t>Der Beschwerdeführer bringt vor, die Strafgerichtspräsidentin habe in Überschreitung ihrer Kompetenzen in Widerspruch zu Art. 333 StPO alleine die Rückweisung der Anklage an die Staatsanwaltschaft veranlasst. In der Verletzung von Art. 333 StPO sei ohne Weiteres ein Umstand zu sehen, der objektiv an der Unbefangenheit der Strafgerichtspräsidentin zweifeln lasse.</w:t>
      </w:r>
    </w:p>
    <w:p>
      <w:r>
        <w:rPr>
          <w:b/>
        </w:rPr>
        <w:t>E. 2.2</w:t>
      </w:r>
    </w:p>
    <w:p>
      <w:r>
        <w:t>Gemäss dem vom Beschwerdeführer angeführten Art. 333 StPO mit dem Randtitel "Änderung und Erweiterung der Anklage" gibt das Gericht der Staatsanwaltschaft Gelegenheit, die Anklage zu ändern, wenn nach seiner Auffassung der in der Anklageschrift umschriebene Sachverhalt einen andern Straftatbestand erfüllen könnte, die Anklageschrift aber den gesetzlichen Anforderungen nicht entspricht (Abs. 1).</w:t>
      </w:r>
    </w:p>
    <w:p>
      <w:r>
        <w:rPr>
          <w:b/>
        </w:rPr>
        <w:t>E. 2.3</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131 I 113 E. 3.4 S. 116). Bei der Anwendung von Art. 56 lit. f StPO ist entscheidendes Kriterium, ob bei objektiver Betrachtungsweise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(vgl. BGE 141 IV 178 E. 3.2.3 S. 180 [betr. Staatsanwälte]). Soweit konkrete Verfahrensfehler beanstandet werden, sind in erster Linie die entsprechenden Rechtsmittel zu ergreifen. Die Mehrfachbefassung mit derselben Angelegenheit, nicht zuletzt im Zusammenhang mit einem prozessualen Zwischenentscheid, genügt zur Annahme von Befangenheit ebenfalls nicht, solange das Verfahren noch als offen erscheint (vgl. zum Ganzen Urteil 1B_140/2016 vom 2. Juni 2016 E. 2 mit Hinweisen).</w:t>
      </w:r>
    </w:p>
    <w:p>
      <w:r>
        <w:rPr>
          <w:b/>
        </w:rPr>
        <w:t>E. 2.4</w:t>
      </w:r>
    </w:p>
    <w:p>
      <w:r>
        <w:t>Wie die Vorinstanz zutreffend erwogen hat, legt sich das Gericht mit der Rückweisung der Anklage nach Art. 333 Abs. 1 StPO nicht in einem Mass fest, dass es nicht mehr als unvoreingenommen gelten könnte und das Verfahren nicht mehr als offen erscheinen würde (Jeremy Stephenson / Roberto Zalunardo-Walser, Basler Kommentar StPO, 2. Aufl. 2014, N. 7 zu Art. 333 StPO ; vgl. in diesem Zusammenhang auch die Urteile 1B_499/2012 vom 7. November 2012 E. 2.4 und 1B_703/2011 vom 3. Februar 2012 E. 2.6, in: Pra 2012 Nr. 36 S. 243). Hätte das zuständige Gericht das Verfahren in Anwendung von Art. 333 StPO an die Staatsanwaltschaft zurückgewiesen, könnte somit keine Befangenheit der Strafgerichtspräsidentin und der mitwirkenden Richter angenommen werden. Diese Konstellation ist zwar vorliegend nicht gegeben, da Strafgerichtspräsidentin Jacqueline Kiss die Rückweisung des Verfahrens an die Staatsanwaltschaft in Überschreitung ihrer Kompetenz alleine vorgenommen hat. Diese Kompetenzüberschreitung stellt jedoch keinen besonders krassen Verfahrensfehler dar, welcher einer schweren Verletzung der Richterpflichten gleichkommt. Auch hat sich die Strafgerichtspräsidentin hierdurch nicht in einer Weise festgelegt, welche den Ausgang des Strafverfahrens Nr. 300 16 314 nicht mehr als offen erscheinen lassen würde. In der Rückweisungsverfügung vom 25. Juli 2016 hat sie einzig ausgeführt, dass sich vorliegend auch die Frage der Schändung oder des Versuchs dazu stelle, da es sich beim mutmasslichen Opfer um ein Kleinkind im Alter von 3½ Jahren handle. Ob sich der Beschwerdeführer tatsächlich wegen Schändung oder Versuchs dazu schuldig gemacht hat, hat sie offen gelassen. In der verfügten Rückweisung des Verfahrens kann deshalb keine Befangenheit der Strafgerichtspräsidentin erblickt werden (vgl. zum Ganzen angefochtener Beschluss E. 2.2.3).</w:t>
      </w:r>
    </w:p>
    <w:p>
      <w:r>
        <w:rPr>
          <w:b/>
        </w:rPr>
        <w:t>E. 2.5</w:t>
      </w:r>
    </w:p>
    <w:p>
      <w:r>
        <w:t>Zusammenfassend vermag der Beschwerdeführer die angebliche Voreingenommenheit der Strafgerichtspräsidentin nicht zu belegen. Ihre Kompetenzüberschreitung als solche stellt jedenfalls keine derart schwere Amtspflichtverletzung dar, dass darin ein Ausstandsgrund läge. Weitere Gründe für den Anschein der Befangenheit tut der Beschwerdeführer nicht substanziiert dar und sind auch nicht ersichtlich.</w:t>
      </w:r>
    </w:p>
    <w:p>
      <w:r>
        <w:rPr>
          <w:b/>
        </w:rPr>
        <w:t>E. 3</w:t>
      </w:r>
    </w:p>
    <w:p>
      <w:r>
        <w:t>Die Beschwerde ist aus den genannten Gründen abzuweisen. Das Gesuch des Beschwerdeführers um "amtliche Verteidigung" ist als Gesuch um unentgeltliche Rechtspflege gemäss Art. 64 BGG entgegenzunehmen. Das Gesuch ist jedoch abzuweisen, da der im kantonalen Verfahren notwendig verteidigte Beschwerdeführer keine Bedürftigkeit behauptet. Der Beschwerdeführer trägt deshalb die Gerichtskosten ( Art. 66 Abs. 1 BGG ) und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