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1B_249/2013 vom 12. August 2013</w:t>
      </w:r>
    </w:p>
    <w:p>
      <w:r>
        <w:t>Bundesgericht, 2013-08-12, FR</w:t>
      </w:r>
    </w:p>
    <w:p>
      <w:r>
        <w:rPr>
          <w:b/>
        </w:rPr>
        <w:t xml:space="preserve">Quelle: </w:t>
      </w:r>
      <w:r>
        <w:t>https://mcp.opencaselaw.ch/entscheid/bger_1B_249_2013</w:t>
      </w:r>
    </w:p>
    <w:p>
      <w:r>
        <w:t>FR: TF 1B_249/2013 du 12 août 2013</w:t>
      </w:r>
    </w:p>
    <w:p>
      <w:r>
        <w:t>IT: TF 1B_249/2013 del 12 agosto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Dans un grief d'ordre formel qu'il convient d'examiner en premier lieu, le recourant se plaint d'une violation de son droit d'être entendu, plus précisément de son droit d'obtenir une décision motivée.</w:t>
      </w:r>
    </w:p>
    <w:p>
      <w:r>
        <w:rPr>
          <w:b/>
        </w:rPr>
        <w:t>E. 3.1</w:t>
      </w:r>
    </w:p>
    <w:p>
      <w:r>
        <w:t>Tel qu'il est garanti à l' art. 29 al. 2 Cst. , le droit d'être entendu confère à toute personne le droit d'exiger, en principe, qu'un jugement ou une décision défavorable à sa cause soit motivé. L'objet et la précision des indications à fournir dépend de la nature de l'affaire et des circonstances particulières du cas; néanmoins,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 ATF 138 I 232 consid. 5.1 p. 238 et les références).</w:t>
      </w:r>
    </w:p>
    <w:p>
      <w:r>
        <w:rPr>
          <w:b/>
        </w:rPr>
        <w:t>E. 3.2</w:t>
      </w:r>
    </w:p>
    <w:p>
      <w:r>
        <w:t>Le recourant reproche aux juges cantonaux de ne pas avoir examiné, en lien avec la condition de l'existence de charges suffisantes, les auditions des autres prévenus - notamment les extraits mis en avant dans le mémoire de recours -, ainsi que son analyse au sujet de sa conversation téléphonique du 26 mars 2013 avec C.________. Il fait également grief à l'arrêt cantonal de ne pas avoir examiné les risques de fuite et de collusion à la lumière de la relaxation de E.________, alors que cet argument avait été dûment exposé dans son recours.</w:t>
      </w:r>
    </w:p>
    <w:p>
      <w:r>
        <w:t>En l'espèce, la lecture de l'arrêt attaqué permet de comprendre sans difficulté les motifs qui ont fondé la décision du Tribunal cantonal concernant l'existence de charges suffisantes à l'encontre du recourant et les risques de fuite et de récidive (cf. consid. 5 et 6 infra; cf. également décision entreprise consid. 4). Le fait que l'instance cantonale ne se soit pas prononcée sur tous les arguments du recourant ne constitue pas une violation des exigences de motivation découlant de l' art. 29 al. 2 Cst. , l'intéressé étant en mesure d'apprécier correctement la portée de la décision et de l'attaquer à bon escient. Ce grief doit donc être rejeté.</w:t>
      </w:r>
    </w:p>
    <w:p>
      <w:r>
        <w:rPr>
          <w:b/>
        </w:rPr>
        <w:t>E. 4</w:t>
      </w:r>
    </w:p>
    <w:p>
      <w:r>
        <w:t>Le recourant soulève ensuite le grief d'établissement inexact des faits.</w:t>
      </w:r>
    </w:p>
    <w:p>
      <w:r>
        <w:rPr>
          <w:b/>
        </w:rPr>
        <w:t>E. 4.1</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4.2</w:t>
      </w:r>
    </w:p>
    <w:p>
      <w:r>
        <w:t>Le recourant se plaint d'une constatation incomplète des faits pertinents à plusieurs égards. En tant que sa critique concerne la condition relative à l'existence de charges suffisantes, elle sera traitée ci-dessous (cf. consid. 5).</w:t>
      </w:r>
    </w:p>
    <w:p>
      <w:r>
        <w:t>Le recourant reproche par ailleurs à l'arrêt cantonal d'être muet sur la libération de E.________, lequel était détenteur de l'appartement ayant servi de base logistique, ainsi que de la voiture et des attaches utilisées lors du brigandage. Il n'y a cependant pas lieu de compléter l'état de fait retenu dans l'arrêt attaqué, dès lors que cet élément n'est pas, pour les motifs exposés ci-dessous, susceptible d'influer sur le sort de la cause (cf. consid. 6.2 et 6.3 infra).</w:t>
      </w:r>
    </w:p>
    <w:p>
      <w:r>
        <w:t>En lien avec le risque de fuite retenu par la cour cantonale, le recourant relève avoir précisé, lors de ses auditions, vivre en Suisse depuis 1989, tout comme sa famille (père, mère et soeur) et n'avoir gardé aucune attache avec la Grande-Bretagne. L'état de fait de l'arrêt entrepris qui n'expose pas toutes les déclarations faites par l'intéressé sur sa situation personnelle doit être complété par les éléments du dossier, qui seront repris ci-après dans la mesure utile (cf. consid. 6.1 infra).</w:t>
      </w:r>
    </w:p>
    <w:p>
      <w:r>
        <w:rPr>
          <w:b/>
        </w:rPr>
        <w:t>E. 5</w:t>
      </w:r>
    </w:p>
    <w:p>
      <w:r>
        <w:t>Le recourant nie le caractère suffisant des charges retenues contre lui. Sur ce point, il se plaint en particulier de l'établissement inexact et incomplet des faits. Il reproche ainsi à la cour cantonale d'avoir omis certaines déclarations concernant son ignorance quant à l'acte de brigandage projeté et les conditions de la remise de l'arme à C.________; de même, l'instance précédente aurait ignoré l'absence de contact téléphonique entre le recourant et les autres prévenus.</w:t>
      </w:r>
    </w:p>
    <w:p>
      <w:r>
        <w:rPr>
          <w:b/>
        </w:rPr>
        <w:t>E. 5.1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w:t>
      </w:r>
    </w:p>
    <w:p>
      <w:r>
        <w:t>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5.2</w:t>
      </w:r>
    </w:p>
    <w:p>
      <w:r>
        <w:t>Le recourant soutient qu'il ignorait tout de l'organisation du brigandage et qu'il n'y a pas participé. Il estime que, contrairement à ce qu'a considéré le Tribunal cantonal, les propos de C.________ ne sont pas accablants et ne permettent pas de conclure au fait qu'il savait que le brigandage était préparé. Le recourant propose en l'occurrence sa propre lecture de la déposition de C.________. Or, celui-ci et D.________ ont tous deux exposé que le recourant avait assisté dans un bar à leur discussion - même s'il n'y avait pas participé activement - au sujet de la commission d'un braquage (cf. p.-v. d'audition du 5 avril 2013 de C.________ p. 2; p.-v. d'audition du 5 avril 2013 de D.________ p. 2: "Philipp était un peu à l'écart de la discussion mais il a entendu"). C.________ précise de plus que le recourant connaissait la date du braquage car elle avait été fixée lors de cette discussion (cf. p.-v. d'audition du 5 avril 2013 de C.________ p. 4). Comme constaté par la cour cantonale, ces déclarations, ajoutées au fait que l'ADN du recourant a été retrouvé sur des objets liés au crime ainsi qu'à la conversation téléphonique du 26 mars 2013 entre ce dernier et C.________, constituent des indices suffisants quant à la participation du recourant au brigandage, quant bien même l'intensité de son implication n'est pas encore clairement définie. Le fait que le jour du brigandage, C.________ n'ait contacté téléphoniquement le recourant que le soir à 20h09 ne permet pas de modifier cette appréciation, compte tenu de la teneur de la discussion. Enfin, la cour cantonale a également mis en évidence le fait que le recourant avait remis une arme à feu à un des auteurs du brigandage, même si celle-ci n'a pas servi à commettre le crime. En l'occurrence, à ce stade, cet élément peut être retenu contre lui, même si la finalité exacte de la remise de cette arme n'est pas encore clairement définie.</w:t>
      </w:r>
    </w:p>
    <w:p>
      <w:r>
        <w:t>C'est dès lors à juste titre que la cour cantonale a retenu l'existence de charges suffisantes, sans qu'il y ait en l'état à procéder à une appréciation complète des preuves à charge et à décharge ( ATF 137 IV 122 consid. 3.2 p. 126). En se livrant à une telle appréciation, et en invoquant dans ce contexte le complètement des faits, le recourant confond manifestement les conditions de maintien en détention provisoire, soit l'existence d'indices suffisants, et les conditions auxquelles une condamnation peut être prononcée, soit l'absence de doutes sérieux quant à la culpabilité de l'accusé. Le grief doit par conséquent être écarté.</w:t>
      </w:r>
    </w:p>
    <w:p>
      <w:r>
        <w:rPr>
          <w:b/>
        </w:rPr>
        <w:t>E. 6</w:t>
      </w:r>
    </w:p>
    <w:p>
      <w:r>
        <w:t>Le recourant conteste ensuite l'existence de risques de fuite et de collusion. A titre subsidiaire, il requiert la mise en oeuvre de mesures de substitution au sens de l' art. 237 CPP , telles que l'obligation de se présenter à intervalle régulier à un poste de police, le port du bracelet électronique, l'interdiction de contacter les autres prévenus, l'assignation au domicile de sa soeur et l'obligation de trouver un emploi.</w:t>
      </w:r>
    </w:p>
    <w:p>
      <w:r>
        <w:rPr>
          <w:b/>
        </w:rPr>
        <w:t>E. 6.1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t>En l'espèce, la cour cantonale a admis l'existence d'un risque de fuite. Elle a considéré que, compte tenu de la faible insertion sociale du recourant (sans emploi, au bénéfice de l'aide sociale et vivant seul) et de la gravité de l'infraction qui lui est reprochée, il y avait lieu de craindre qu'il se soustraie à la poursuite pénale en entrant dans la clandestinité, notamment en s'enfuyant à l'étranger; s'il était ressortissant suisse, le recourant, né en Grande-Bretagne, avait néanmoins affirmé qu'il lui était aisé d'obtenir la nationalité de son père, ressortissant du Royaume-Uni de Grande-Bretagne et d'Irlande du Nord.</w:t>
      </w:r>
    </w:p>
    <w:p>
      <w:r>
        <w:t>Comme relevé par le recourant, la cour cantonale tait le fait qu'il a également déclaré vivre depuis l'âge d'environ 6 ans (depuis 1989-1990) en Suisse où habitent également ses parents et sa soeur; l'intéressé a également souligné n'avoir aucun contact en Grande-Bretagne. Or, ces éléments importants ne paraissent pas avoir été pris en compte par l'instance précédente lorsqu'elle a procédé à l'examen du risque de fuite. Le fait que le recourant bénéficie de l'aide sociale et qu'il lui serait possible d'obtenir la nationalité de son père ne semblent dès lors pas constituer, dans le cas d'espèce, des indices suffisants pour conclure à l'existence d'un risque de fuite qu'il y aurait "sérieusement lieu de craindre", selon les termes de l' art. 221 al. 1 CPP . La question du risque de fuite - au demeurant délicate in casu - peut toutefois rester indécise, compte tenu de l'affirmation du risque de collusion (cf. consid. 6.2 infra).</w:t>
      </w:r>
    </w:p>
    <w:p>
      <w:r>
        <w:rPr>
          <w:b/>
        </w:rPr>
        <w:t>E. 6.2</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et les références).</w:t>
      </w:r>
    </w:p>
    <w:p>
      <w:r>
        <w:t>En l'espèce, comme relevé par le Ministère public et le Tmc, les déclarations des diverses personnes appréhendées divergent sur plusieurs points importants concernant le déroulement du brigandage. Le recourant prétend quant à lui ne pas avoir eu connaissance du projet de brigandage et nie toute implication dans cet acte, en dépit de certains éléments tendant à démontrer l'inverse (écoutes téléphoniques; présence de son ADN sur certains objets liés au crime). Il est dès lors nécessaire de procéder à d'autres auditions et confrontations ainsi qu'à d'autres mesures d'instruction pour établir le déroulement du brigandage et le rôle de chacun des protagonistes. Enfin, les instances précédentes pouvaient considérer qu'il n'était pas exclu, au vu des investigations encore à réaliser (cf. consid. 8 infra), que des tiers encore non identifiés aient également été impliqués. A ce stade de l'enquête, on ne saurait écarter le risque que le recourant ne mette sa liberté à profit pour tenter d'influencer ou d'intimider ses comparses ou d'autres tiers impliqués non identifiés, ou encore qu'il fasse disparaître des preuves. Le fait que plusieurs des protagonistes se trouvent actuellement en détention n'exclut pas que le recourant puisse faire pression sur eux, par exemple par l'entremise de tierces personnes. Par ailleurs, quoi qu'en pense le recourant, le fait qu'un coprévenu ait été libéré ne suffit pas à rendre inexistant le risque de collusion. Enfin, les mesures de substitution proposées par le recourant pour pallier le risque de collusion ne sont pas suffisantes au regard de l'intensité dudit risque. Son maintien en détention ne contrevient dès lors pas aux art. 221 al. 1 let. b et 237 al. 1 CPP.</w:t>
      </w:r>
    </w:p>
    <w:p>
      <w:r>
        <w:rPr>
          <w:b/>
        </w:rPr>
        <w:t>E. 6.3</w:t>
      </w:r>
    </w:p>
    <w:p>
      <w:r>
        <w:t>Le recourant se plaint d'une inégalité de traitement dans la mesure où un coprévenu aurait été libéré moyennant des mesures de substitution. L'intéressé ne saurait toutefois se prévaloir de la situation des autres prévenus, dès lors que la loi a été correctement appliquée dans son cas ( ATF 127 I 1 consid. 3a p. 2; 127 II 113 consid. 9b p. 121; 125 II 152 consid. 5 p. 166 et les arrêts cités). Par conséquent, ce moyen doit également être rejeté.</w:t>
      </w:r>
    </w:p>
    <w:p>
      <w:r>
        <w:rPr>
          <w:b/>
        </w:rPr>
        <w:t>E. 7</w:t>
      </w:r>
    </w:p>
    <w:p>
      <w:r>
        <w:t>Le recourant se plaint du fait que l'instruction serait au point mort et qu'aucune mesure d'instruction ne serait planifiée depuis le 6 juin 2013. Par cette critique, le recourant semble se plaindre d'une violation du principe de célérité. Sa critique doit toutefois être rejetée. En effet, l'instruction n'a jusqu'à présent pas connu de période d'inactivité susceptible de contrevenir à l' art. 5 par. 3 CEDH . L'autorité pénale a régulièrement fait progresser le dossier en entendant à plusieurs reprises les divers protagonistes appréhendés. Il ressort par ailleurs du dossier que des mesures d'instruction sont actuellement en cours et visent à établir avec précision les faits délictueux imputables aux différents protagonistes (cf. rapport de police du 8 juillet 2013).</w:t>
      </w:r>
    </w:p>
    <w:p>
      <w:r>
        <w:rPr>
          <w:b/>
        </w:rPr>
        <w:t>E. 8</w:t>
      </w:r>
    </w:p>
    <w:p>
      <w:r>
        <w:t>Le recourant fait également valoir le caractère disproportionné de sa détention. Les conditions d'une prolongation exceptionnelle de six mois ne seraient pas réunies.</w:t>
      </w:r>
    </w:p>
    <w:p>
      <w:r>
        <w:rPr>
          <w:b/>
        </w:rPr>
        <w:t>E. 8.1</w:t>
      </w:r>
    </w:p>
    <w:p>
      <w:r>
        <w:t>D'après le Message du 21 décembre 2005 relatif à l'unification du droit de la procédure pénale, il est possible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documents confisqués doivent être examinés et de nombreux témoins interrogés (FF 2006 1057, p. 1214). Le Tribunal fédéral a ainsi admis l'existence d'un cas exceptionnel dans une affaire complexe et volumineuse, impliquant quatre participants, où il était clair que le motif de détention (risque de réitération) ne disparaîtrait pas dans les trois mois (cf. arrêt 1B_126/2011 du 6 avril 2011 consid. 4.2.1 publié in JdT 2011 IV 325).</w:t>
      </w:r>
    </w:p>
    <w:p>
      <w:r>
        <w:rPr>
          <w:b/>
        </w:rPr>
        <w:t>E. 8.2</w:t>
      </w:r>
    </w:p>
    <w:p>
      <w:r>
        <w:t>En l'occurrence, la cour cantonale a considéré qu'une prolongation de la détention jusqu'au 1</w:t>
      </w:r>
    </w:p>
    <w:p>
      <w:r>
        <w:t>er janvier 2014 ne prêtait pas le flanc à la critique au vu de l'état de l'enquête et de l'ampleur conséquente des mesures d'instruction devant encore être mises en oeuvre. Elle a confirmé sur ce point la décision du Tmc qui avait estimé qu'au vu de la complexité des faits litigieux, du nombre de prévenus impliqués, des versions des faits divergentes, de la nécessité de procéder à maintes confrontations, de la multiplicité des écoutes téléphoniques ordonnées, dont il convenait d'analyser le résultat et du fait qu'une collaboration s'avérait nécessaire avec la France, un laps de temps clairement supérieur à trois mois serait nécessaire pour effectuer les opérations d'enquête restant à réaliser.</w:t>
      </w:r>
    </w:p>
    <w:p>
      <w:r>
        <w:t>Cette appréciation ne peut être suivie. En effet, contrairement à ce que considèrent les instances précédentes, il n'apparaît pas que l'enquête relative au brigandage revête un caractère exceptionnel au sens de l' art. 227 al. 7 CPP . Il n'est en effet pas d'emblée prévisible que les mesures d'instruction (confrontations, analyse des écoutes téléphoniques) ne pourront pas être réalisées dans le délai ordinaire de prolongation de la détention et que le motif de détention persistera durant cette période de six mois, quand bien même les autorités suisses devraient collaborer avec la France sur certains points. Il convient dès lors de ramener la durée de la prolongation de la détention provisoire à trois mois conformément à l' art. 237 al. 7 CPP . Au demeurant, l'autorité pénale reste libre, à l'échéance de cette période de trois mois, de renouveler la détention provisoire du recourant si les conditions en sont toujours réunies. Le recours doit donc être admis dans cette mesure.</w:t>
      </w:r>
    </w:p>
    <w:p>
      <w:r>
        <w:rPr>
          <w:b/>
        </w:rPr>
        <w:t>E. 9</w:t>
      </w:r>
    </w:p>
    <w:p>
      <w:r>
        <w:t>Il s'ensuit que le recours doit être admis partiellement. L'arrêt cantonal est réformé en ce sens que le recours est partiellement admis et que le chiffre III du dispositif de l'ordonnance du 25 juin 2013 du Tribunal des mesures de contrainte est modifiée en ce sens que la durée de la prolongation est fixée à trois mois. Le recours est rejeté pour le surplus et la cause est renvoyée au Tribunal cantonal pour nouvelle décision sur les frais et les dépens de la procédure cantonale ( art. 68 al. 5 LTF ).</w:t>
      </w:r>
    </w:p>
    <w:p>
      <w:r>
        <w:t>Conformément à l' art. 66 al. 1 LTF , les frais judiciaires, réduits, pour la procédure devant le Tribunal fédéral, sont à la charge du recourant qui succombe partiellement. Des dépens, eux aussi réduits, sont alloués au recourant, à la charge du canton de Vaud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