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247/2022 vom 24. Mai 2022</w:t>
      </w:r>
    </w:p>
    <w:p>
      <w:r>
        <w:t>Bundesgericht, 2022-05-24, DE</w:t>
      </w:r>
    </w:p>
    <w:p>
      <w:r>
        <w:rPr>
          <w:b/>
        </w:rPr>
        <w:t xml:space="preserve">Quelle: </w:t>
      </w:r>
      <w:r>
        <w:t>https://mcp.opencaselaw.ch/entscheid/bger_1B_247_2022</w:t>
      </w:r>
    </w:p>
    <w:p>
      <w:r>
        <w:t>FR: TF 1B 247/2022 du 24 mai 2022</w:t>
      </w:r>
    </w:p>
    <w:p>
      <w:r>
        <w:t>IT: TF 1B 247/2022 del 24 maggio 2022</w:t>
      </w:r>
    </w:p>
    <w:p>
      <w:pPr>
        <w:pStyle w:val="Heading2"/>
      </w:pPr>
      <w:r>
        <w:t>Regeste</w:t>
      </w:r>
    </w:p>
    <w:p>
      <w:r>
        <w:t>Strafverfahren; Sicherheitsleistung/unentgeltliche Rechtspflege | Strafprozess</w:t>
      </w:r>
    </w:p>
    <w:p>
      <w:pPr>
        <w:pStyle w:val="Heading2"/>
      </w:pPr>
      <w:r>
        <w:t>Erwägungen</w:t>
      </w:r>
    </w:p>
    <w:p>
      <w:r>
        <w:rPr>
          <w:b/>
        </w:rPr>
        <w:t>E. 1</w:t>
      </w:r>
    </w:p>
    <w:p>
      <w:r>
        <w:t>A.________ erhob am 6. April 2022 Beschwerde gegen vier Nichtanhandnahmeverfügungen der Staatsanwaltschaft Brugg-Zurzach vom 29. März 2022. Die Beschwerdekammer in Strafsachen des Obergerichts des Kantons Aargau forderte ihn mit Verfügung vom 3. Mai 2022 zur Leistung einer Sicherheit von Fr. 600.-- pro Nichtanhandnahmeverfügung auf. Mit Eingabe vom 5. Mai 2022 ersuchte A.________ um Gewährung der unentgeltlichen Rechtspflege. Die Vizepräsidentin der Beschwerdekammer in Strafsachen des Obergerichts des Kantons Aargau wies mit Verfügung vom 12. Mai 2022 das Gesuch um unentgeltliche Rechtspflege ab und gewährte A.________ eine letzte Nachfrist von 10 Tagen für die Leistung der Sicherheit von je Fr. 600.--.</w:t>
      </w:r>
    </w:p>
    <w:p>
      <w:r>
        <w:rPr>
          <w:b/>
        </w:rPr>
        <w:t>E. 2</w:t>
      </w:r>
    </w:p>
    <w:p>
      <w:r>
        <w:t>A.________ führt mit Eingabe vom 15. Mai 2022 (Postaufgabe 16. Mai 2022) Beschwerde in Strafsachen gegen die Verfügung der Beschwerdekammer in Strafsachen des Obergerichts des Kantons Aargau. Das Bundesgericht verzichtet auf die Einholung von Vernehmlassungen.</w:t>
      </w:r>
    </w:p>
    <w:p>
      <w:r>
        <w:rPr>
          <w:b/>
        </w:rPr>
        <w:t>E. 3</w:t>
      </w:r>
    </w:p>
    <w:p>
      <w:r>
        <w:t>Streitgegenstand ist vorliegend einzig die Abweisung des Gesuchs um unentgeltliche Rechtspflege und die damit einhergehende Aufforderung zur Leistung einer Sicherheit im Sinne von Art. 383 StPO . Soweit der Beschwerdeführer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Der Beschwerdeführer setzt sich nicht mit der Verfügung der Beschwerdekammer in Strafsachen auseinander. Mit seinen sachfremden Ausführungen legt er nicht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