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247/2015 vom 4. August 2015</w:t>
      </w:r>
    </w:p>
    <w:p>
      <w:r>
        <w:t>Bundesgericht, 2015-08-04, FR</w:t>
      </w:r>
    </w:p>
    <w:p>
      <w:r>
        <w:rPr>
          <w:b/>
        </w:rPr>
        <w:t xml:space="preserve">Quelle: </w:t>
      </w:r>
      <w:r>
        <w:t>https://mcp.opencaselaw.ch/entscheid/bger_1B_247_2015</w:t>
      </w:r>
    </w:p>
    <w:p>
      <w:r>
        <w:t>FR: TF 1B 247/2015 du 4 août 2015</w:t>
      </w:r>
    </w:p>
    <w:p>
      <w:r>
        <w:t>IT: TF 1B 247/2015 del 4 agosto 2015</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tout d'abord à l'autorité précédente d'avoir renvoyé, à titre de motivation, aux considérants de sa décision du 10 mars 2015. Un renvoi à des décisions précédentes afin de motiver un jugement est admissible en matière de détention provisoire dans la mesure où le recourant est à même de faire valoir efficacement ses objections. Dans tous les cas, il faut que les motifs auxquels il est renvoyé soient développés de manière suffisante au vu des exigences de l' art. 29 al. 2 Cst. ( ATF 123 I 31 consid. 2c p. 34; arrêts 1B_149/2010 du 1er juin 2010 consid. 1.3; 1B_22/2009 du 16 février 2009 consid. 2.1) et que l'instruction de la cause n'ait pas évolué de manière déterminante depuis la précédente décision (arrêts 1B_75/2015 du 7 avril 2015 consid. 2.3; 1B_295/2014 du 23 septembre 2014 consid. 2.3). En l'occurrence, le recourant soutient en substance que de "nombreuses mesures d'instruction" auraient été entreprises postérieurement au 10 mars 2015. Il ne donne cependant aucune indication - notamment temporelle - sur ces opérations, ni sur quels éléments nouveaux il en résulterait. Tel n'est en particulier pas le cas des troubles de mémoire de C.________, dès lors que le certificat médical y relatif a été produit en octobre 2014. Il en va de même de l'audition de D.________ citée par le recourant; en effet, cette séance s'est déroulée le 2 octobre 2014. Le recourant ne démontre ainsi pas quels actes n'auraient pas été pris en compte dans l'arrêt attaqué. Par conséquent, la Chambre des recours pénale ne viole pas le droit fédéral en motivant son arrêt par renvoi à son précédent jugement.</w:t>
      </w:r>
    </w:p>
    <w:p>
      <w:r>
        <w:rPr>
          <w:b/>
        </w:rPr>
        <w:t>E. 3</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et 197 al. 1 let. c CPP). Pour que tel soit le cas, la privation de liberté doit être justifiée par les besoins de l'instruction, par un risque de fuite ou par un danger de collusion ou de réitération (art. 221 al. 1 let. a, b et c CPP).</w:t>
      </w:r>
    </w:p>
    <w:p>
      <w:r>
        <w:rPr>
          <w:b/>
        </w:rPr>
        <w:t>E. 4</w:t>
      </w:r>
    </w:p>
    <w:p>
      <w:r>
        <w:t>Le recourant conteste en substance l'existence de charges suffisantes à son encontre. A cet égard, il soutient que les victimes auraient admis n'avoir jamais été menacées au moment où elles lui avaient remis de l'argent. Dès lors, il prétend qu'on pourrait tout au plus lui reprocher un abus de faiblesse, mais certainement pas des escroqueries.</w:t>
      </w:r>
    </w:p>
    <w:p>
      <w:r>
        <w:rPr>
          <w:b/>
        </w:rPr>
        <w:t>E. 4.1</w:t>
      </w:r>
    </w:p>
    <w:p>
      <w:r>
        <w:t>Préalablement à l'examen des hypothèses posées à l'art. 221 al. 1 let. a, b et c CPP,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4.2</w:t>
      </w:r>
    </w:p>
    <w:p>
      <w:r>
        <w:t>Dans son arrêt du 10 mars 2015 (cf. le consid. 2.2), la Chambre des recours pénale a en particulier retenu que les plaignants n'avaient apparemment aucun lien entre eux de sorte que, lorsque leurs déclarations se recoupaient, elles acquéraient une crédibilité certaine. Celle-ci ne pouvait en particulier pas être remise en cause du seul fait que le recourant ne se serait peut-être pas trouvé en Suisse durant certaines périodes; un nombre des opérations reprochées - transferts d'argent ou envois de SMS de menaces - pouvait d'ailleurs avoir été perpétré depuis l'étranger. L'autorité cantonale a encore relevé que les actes examinés à l'encontre du recourant s'étalaient sur une période d'une certaine durée. Le jugement attaqué a repris, par renvoi, cette motivation (cf. le consid. 2.2). Toutefois, la juridiction précédente ne s'en est pas contentée puisqu'elle a également mentionné les messages extraits des téléphones portables de la victime notamment des menaces, ainsi que du co-prévenu, qui mettaient clairement en cause le recourant. Elle a encore indiqué les relevés bancaires et postaux des victimes. Si le recourant conteste la qualification d'escroquerie - moyen qu'il pourra soulever devant le juge du fond -, les considérations susmentionnées sont suffisantes, au stade du contrôle de la détention, pour retenir l'existence de soupçons de la commission de cette infraction par le recourant (cf. en particulier la durée des actes, la crédibilité des plaignants et les transferts d'argent effectués apparemment pour des montants importants au vu des faits retenus dans l'arrêt entrepris). Cela vaut d'autant plus au regard de l'acte d'accusation établi par le Ministère public le 22 mai 2015 par lequel le prévenu est notamment renvoyé en jugement pour ce chef de prévention. A cela s'ajoutent encore les faits reprochés en lien avec B.________ (art. 156 ch. 1 à 3, ainsi que 180 al. 1 CP selon l'acte d'accusation). Le recourant - qui remet certes en cause la crédibilité de ce dernier, ce que le juge du fond appréciera - ne conteste d'ailleurs pas que certains de ces actes sembleraient démontrés par des messages téléphoniques, tel que mentionné par la cour cantonale. Il en résulte que la Chambre des recours pénale n'a pas violé le droit fédéral en retenant l'existence de charges suffisantes à l'encontre du recourant.</w:t>
      </w:r>
    </w:p>
    <w:p>
      <w:r>
        <w:rPr>
          <w:b/>
        </w:rPr>
        <w:t>E. 5</w:t>
      </w:r>
    </w:p>
    <w:p>
      <w:r>
        <w:t>Le recourant conteste ensuite l'existence d'un risque de fuite, soutenant qu'aucun élément concret au dossier ne permettrait de conclure qu'il pourrait se soustraire à l'autorité de poursuite. Il propose à cet égard des mesures de substitution (dépôt des documents d'identité, obligation de se présenter à un poste de police et interdiction d'approcher les victimes). Le recourant prétend également que le risque de récidive ne pourrait être retenu au regard de l'absence d'expertise psychiatrique. Enfin, selon le recourant, la durée de la détention avant jugement ne serait pas conforme au principe de proportionnalité au vu de la peine encourue, de la détention déjà subie, ainsi que de ses antécédents.</w:t>
      </w:r>
    </w:p>
    <w:p>
      <w:r>
        <w:rPr>
          <w:b/>
        </w:rPr>
        <w:t>E. 5.1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rPr>
          <w:b/>
        </w:rPr>
        <w:t>E. 5.2</w:t>
      </w:r>
    </w:p>
    <w:p>
      <w:r>
        <w:t>S'agissant de l'examen du risque de fuite, la juridiction précédente s'est référée intégralement à sa décision précédente (cf. le consid. 3.1). Selon l'arrêt du 10 mars 2015 (cf. le consid. 2.3.1), A.________ avait expliqué vouloir retourner vivre auprès de sa compagne et de sa fille au Kosovo, pays acceptant l'extradition de ses ressortissants. La cour cantonale a cependant alors considéré que le prévenu avait également déclaré voyager énormément dans divers pays d'Europe; il n'était ainsi pas garanti que tel ne serait pas le cas à l'avenir, la présence de sa fille ne l'ayant pas retenu auparavant. La Chambre des recours pénale a encore constaté que l'arrestation du recourant n'avait été possible qu'à la suite de son extradition; or, les inconvénients de ce type de procédure ne pouvaient être minimisés, celle-ci pouvant - indépendamment de ses chances de succès - se révéler longue et compliquée. Le recourant ne développe aucune argumentation propre à remettre en cause ces éléments. S'il s'est peut-être présenté à toutes les convocations des autorités, la perspective d'un renvoi en jugement pour quatre chefs d'infraction (art. 146 al. 1, 147 al. 1, 156 ch. 1 à 3 [en lien avec l'art. 140 ch. 1 al. 1 et ch. 2] et 180 al. 1 CP; cf. l'acte d'accusation) et la peine privative de liberté qui pourrait en découler (cf. les règles applicables en matière de concours [ art. 49 CP ]) ne permettent pas de garantir que tel serait encore le cas à l'avenir. Il en résulte que le danger de fuite est avéré. Ce risque étant établi, point n'est besoin de se prononcer sur celui de récidive, tel qu'également retenu par la juridiction précédente.</w:t>
      </w:r>
    </w:p>
    <w:p>
      <w:r>
        <w:rPr>
          <w:b/>
        </w:rPr>
        <w:t>E. 5.3</w:t>
      </w:r>
    </w:p>
    <w:p>
      <w:r>
        <w:t>Conformément au principe de la proportionnalité ( art. 36 al. 3 Cst. et 197 al. 1 let. c CPP), il convient ensuite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 la saisie des documents d'identité et autres documents officiels (let. a), l'obligation de se présenter régulièrement à un service administratif (let. d) et l'interdiction d'entretenir des relations avec certaines personnes (let. g). Il apparaît qu'en l'espèce, les motifs examinés ci-dessus (gravité des charges et peine encourue), ainsi que les lourds antécédents du prévenu (cf. l'arrêt 6P.97/2004 et 6S.278/2004 du 24 août 2004 confirmant sa condamnation par le Tribunal criminel de l'arrondissement de Lausanne à neuf ans de réclusion notamment pour crime manqué de meurtre) permettent de confirmer que la durée de la détention avant jugement subie ne viole pas le principe de proportionnalité et que les mesures de substitution proposées par le recourant ne sont pas suffisantes pour écarter le danger de fuite retenu. En effet, l'obligation de se présenter chaque jour à un poste de police, la remise des pièces d'identité, ainsi que l'interdiction de prendre contact avec certaines personnes ne sont pas de nature à empêcher une personne dans la situation du recourant de franchir la frontière suisse.</w:t>
      </w:r>
    </w:p>
    <w:p>
      <w:r>
        <w:rPr>
          <w:b/>
        </w:rPr>
        <w:t>E. 5.4</w:t>
      </w:r>
    </w:p>
    <w:p>
      <w:r>
        <w:t>Partant, la Chambre des recours pénale n'a pas violé le droit fédéral en confirmant la détention pour motifs de sûreté ordonnée par le Tmc.</w:t>
      </w:r>
    </w:p>
    <w:p>
      <w:r>
        <w:rPr>
          <w:b/>
        </w:rPr>
        <w:t>E. 6</w:t>
      </w:r>
    </w:p>
    <w:p>
      <w:r>
        <w:t>Il s'ensuit que le recours est rejeté. Le courrier du 24 juillet 2015 ne tendait qu'à l'obtention de la dispense des avances de frais, requête qui a été admise. Il ne peut donc être assimilé à une requête d'assistance judiciaire ( art. 64 al. 1 LTF ). Cependant, le recourant - détenu - procède seul devant le Tribunal de céans et, au vu des circonstances, il se justifie exceptionnellement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